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9D7C1F" w:rsidRDefault="009D7C1F">
      <w:pPr>
        <w:widowControl w:val="0"/>
        <w:pBdr>
          <w:top w:val="nil"/>
          <w:left w:val="nil"/>
          <w:bottom w:val="nil"/>
          <w:right w:val="nil"/>
          <w:between w:val="nil"/>
        </w:pBdr>
        <w:spacing w:line="276" w:lineRule="auto"/>
      </w:pPr>
    </w:p>
    <w:p w14:paraId="00000002" w14:textId="77777777" w:rsidR="009D7C1F" w:rsidRDefault="00000000">
      <w:pPr>
        <w:jc w:val="center"/>
        <w:rPr>
          <w:rFonts w:ascii="Arial" w:eastAsia="Arial" w:hAnsi="Arial" w:cs="Arial"/>
          <w:b/>
          <w:bCs/>
          <w:sz w:val="22"/>
          <w:szCs w:val="22"/>
        </w:rPr>
      </w:pPr>
      <w:r>
        <w:rPr>
          <w:rFonts w:ascii="Arial" w:eastAsia="Arial" w:hAnsi="Arial" w:cs="Arial"/>
          <w:b/>
          <w:bCs/>
          <w:sz w:val="22"/>
          <w:szCs w:val="22"/>
        </w:rPr>
        <w:t>MEMORANDO</w:t>
      </w:r>
    </w:p>
    <w:p w14:paraId="00000003" w14:textId="77777777" w:rsidR="009D7C1F" w:rsidRDefault="009D7C1F">
      <w:pPr>
        <w:rPr>
          <w:rFonts w:ascii="Arial" w:eastAsia="Arial" w:hAnsi="Arial" w:cs="Arial"/>
          <w:b/>
          <w:bCs/>
          <w:sz w:val="22"/>
          <w:szCs w:val="22"/>
        </w:rPr>
        <w:sectPr w:rsidR="009D7C1F">
          <w:headerReference w:type="default" r:id="rId8"/>
          <w:footerReference w:type="default" r:id="rId9"/>
          <w:footerReference w:type="first" r:id="rId10"/>
          <w:pgSz w:w="12242" w:h="15842"/>
          <w:pgMar w:top="2268" w:right="1418" w:bottom="2268" w:left="1418" w:header="0" w:footer="0" w:gutter="0"/>
          <w:pgNumType w:start="1"/>
          <w:cols w:space="720"/>
        </w:sectPr>
      </w:pPr>
    </w:p>
    <w:p w14:paraId="00000004" w14:textId="77777777" w:rsidR="009D7C1F" w:rsidRDefault="009D7C1F">
      <w:pPr>
        <w:rPr>
          <w:rFonts w:ascii="Arial" w:eastAsia="Arial" w:hAnsi="Arial" w:cs="Arial"/>
          <w:sz w:val="22"/>
          <w:szCs w:val="22"/>
        </w:rPr>
      </w:pPr>
    </w:p>
    <w:p w14:paraId="00000005" w14:textId="77777777" w:rsidR="009D7C1F" w:rsidRDefault="00000000">
      <w:pPr>
        <w:rPr>
          <w:rFonts w:ascii="Arial" w:eastAsia="Arial" w:hAnsi="Arial" w:cs="Arial"/>
          <w:b/>
          <w:bCs/>
          <w:sz w:val="22"/>
          <w:szCs w:val="22"/>
        </w:rPr>
      </w:pPr>
      <w:r>
        <w:rPr>
          <w:rFonts w:ascii="Arial" w:eastAsia="Arial" w:hAnsi="Arial" w:cs="Arial"/>
          <w:b/>
          <w:bCs/>
          <w:sz w:val="22"/>
          <w:szCs w:val="22"/>
        </w:rPr>
        <w:t>PARA:</w:t>
      </w:r>
      <w:r>
        <w:rPr>
          <w:rFonts w:ascii="Arial" w:eastAsia="Arial" w:hAnsi="Arial" w:cs="Arial"/>
          <w:b/>
          <w:bCs/>
          <w:sz w:val="22"/>
          <w:szCs w:val="22"/>
        </w:rPr>
        <w:tab/>
      </w:r>
      <w:r>
        <w:rPr>
          <w:rFonts w:ascii="Arial" w:eastAsia="Arial" w:hAnsi="Arial" w:cs="Arial"/>
          <w:sz w:val="22"/>
          <w:szCs w:val="22"/>
        </w:rPr>
        <w:t xml:space="preserve"> </w:t>
      </w:r>
      <w:r>
        <w:rPr>
          <w:rFonts w:ascii="Arial" w:eastAsia="Arial" w:hAnsi="Arial" w:cs="Arial"/>
          <w:b/>
          <w:bCs/>
          <w:sz w:val="22"/>
          <w:szCs w:val="22"/>
        </w:rPr>
        <w:t>ADRIANA SOTO CARREÑO</w:t>
      </w:r>
    </w:p>
    <w:p w14:paraId="00000006" w14:textId="77777777" w:rsidR="009D7C1F" w:rsidRDefault="00000000">
      <w:pPr>
        <w:rPr>
          <w:rFonts w:ascii="Arial" w:eastAsia="Arial" w:hAnsi="Arial" w:cs="Arial"/>
          <w:sz w:val="22"/>
          <w:szCs w:val="22"/>
        </w:rPr>
      </w:pPr>
      <w:r>
        <w:rPr>
          <w:rFonts w:ascii="Arial" w:eastAsia="Arial" w:hAnsi="Arial" w:cs="Arial"/>
          <w:b/>
          <w:bCs/>
          <w:sz w:val="22"/>
          <w:szCs w:val="22"/>
        </w:rPr>
        <w:t xml:space="preserve">          </w:t>
      </w:r>
      <w:r>
        <w:rPr>
          <w:rFonts w:ascii="Arial" w:eastAsia="Arial" w:hAnsi="Arial" w:cs="Arial"/>
          <w:b/>
          <w:bCs/>
          <w:sz w:val="22"/>
          <w:szCs w:val="22"/>
        </w:rPr>
        <w:tab/>
        <w:t xml:space="preserve"> </w:t>
      </w:r>
      <w:r>
        <w:rPr>
          <w:rFonts w:ascii="Arial" w:eastAsia="Arial" w:hAnsi="Arial" w:cs="Arial"/>
          <w:sz w:val="22"/>
          <w:szCs w:val="22"/>
        </w:rPr>
        <w:t>Secretaria Distrital de Ambiente</w:t>
      </w:r>
    </w:p>
    <w:p w14:paraId="00000007" w14:textId="77777777" w:rsidR="009D7C1F" w:rsidRDefault="009D7C1F">
      <w:pPr>
        <w:rPr>
          <w:rFonts w:ascii="Arial" w:eastAsia="Arial" w:hAnsi="Arial" w:cs="Arial"/>
          <w:sz w:val="22"/>
          <w:szCs w:val="22"/>
        </w:rPr>
      </w:pPr>
    </w:p>
    <w:p w14:paraId="00000008" w14:textId="77777777" w:rsidR="009D7C1F" w:rsidRDefault="009D7C1F">
      <w:pPr>
        <w:rPr>
          <w:rFonts w:ascii="Arial" w:eastAsia="Arial" w:hAnsi="Arial" w:cs="Arial"/>
          <w:sz w:val="22"/>
          <w:szCs w:val="22"/>
        </w:rPr>
      </w:pPr>
    </w:p>
    <w:p w14:paraId="00000009" w14:textId="77777777" w:rsidR="009D7C1F" w:rsidRDefault="00000000">
      <w:pPr>
        <w:rPr>
          <w:rFonts w:ascii="Arial" w:eastAsia="Arial" w:hAnsi="Arial" w:cs="Arial"/>
          <w:sz w:val="22"/>
          <w:szCs w:val="22"/>
        </w:rPr>
      </w:pPr>
      <w:r>
        <w:rPr>
          <w:rFonts w:ascii="Arial" w:eastAsia="Arial" w:hAnsi="Arial" w:cs="Arial"/>
          <w:b/>
          <w:bCs/>
          <w:sz w:val="22"/>
          <w:szCs w:val="22"/>
        </w:rPr>
        <w:t xml:space="preserve">DE: </w:t>
      </w:r>
      <w:r>
        <w:rPr>
          <w:rFonts w:ascii="Arial" w:eastAsia="Arial" w:hAnsi="Arial" w:cs="Arial"/>
          <w:b/>
          <w:bCs/>
          <w:sz w:val="22"/>
          <w:szCs w:val="22"/>
        </w:rPr>
        <w:tab/>
        <w:t>YESENIA VASQUEZ AGUILERA</w:t>
      </w:r>
    </w:p>
    <w:p w14:paraId="0000000A" w14:textId="77777777" w:rsidR="009D7C1F" w:rsidRDefault="00000000">
      <w:pPr>
        <w:rPr>
          <w:rFonts w:ascii="Arial" w:eastAsia="Arial" w:hAnsi="Arial" w:cs="Arial"/>
          <w:sz w:val="22"/>
          <w:szCs w:val="22"/>
        </w:rPr>
      </w:pPr>
      <w:r>
        <w:rPr>
          <w:rFonts w:ascii="Arial" w:eastAsia="Arial" w:hAnsi="Arial" w:cs="Arial"/>
          <w:sz w:val="22"/>
          <w:szCs w:val="22"/>
        </w:rPr>
        <w:t xml:space="preserve">            Directora de Control Ambiental</w:t>
      </w:r>
    </w:p>
    <w:p w14:paraId="0000000B" w14:textId="77777777" w:rsidR="009D7C1F" w:rsidRDefault="009D7C1F">
      <w:pPr>
        <w:rPr>
          <w:rFonts w:ascii="Arial" w:eastAsia="Arial" w:hAnsi="Arial" w:cs="Arial"/>
          <w:sz w:val="22"/>
          <w:szCs w:val="22"/>
        </w:rPr>
      </w:pPr>
    </w:p>
    <w:p w14:paraId="0000000C" w14:textId="77777777" w:rsidR="009D7C1F" w:rsidRDefault="009D7C1F">
      <w:pPr>
        <w:rPr>
          <w:rFonts w:ascii="Arial" w:eastAsia="Arial" w:hAnsi="Arial" w:cs="Arial"/>
          <w:sz w:val="22"/>
          <w:szCs w:val="22"/>
        </w:rPr>
      </w:pPr>
    </w:p>
    <w:p w14:paraId="0000000D" w14:textId="77777777" w:rsidR="009D7C1F" w:rsidRDefault="00000000">
      <w:pPr>
        <w:jc w:val="both"/>
        <w:rPr>
          <w:rFonts w:ascii="Arial" w:eastAsia="Arial" w:hAnsi="Arial" w:cs="Arial"/>
          <w:sz w:val="22"/>
          <w:szCs w:val="22"/>
        </w:rPr>
      </w:pPr>
      <w:r>
        <w:rPr>
          <w:rFonts w:ascii="Arial" w:eastAsia="Arial" w:hAnsi="Arial" w:cs="Arial"/>
          <w:b/>
          <w:bCs/>
          <w:sz w:val="22"/>
          <w:szCs w:val="22"/>
        </w:rPr>
        <w:t xml:space="preserve">ASUNTO: </w:t>
      </w:r>
      <w:r>
        <w:rPr>
          <w:rFonts w:ascii="Arial" w:eastAsia="Arial" w:hAnsi="Arial" w:cs="Arial"/>
          <w:sz w:val="22"/>
          <w:szCs w:val="22"/>
        </w:rPr>
        <w:t xml:space="preserve">Insumo para dar respuesta a radicado SDA No. 2026ER52722, proceso 6938681 del 19 de marzo de 2026. </w:t>
      </w:r>
    </w:p>
    <w:p w14:paraId="0000000E" w14:textId="77777777" w:rsidR="009D7C1F" w:rsidRDefault="009D7C1F">
      <w:pPr>
        <w:rPr>
          <w:rFonts w:ascii="Arial" w:eastAsia="Arial" w:hAnsi="Arial" w:cs="Arial"/>
          <w:sz w:val="22"/>
          <w:szCs w:val="22"/>
        </w:rPr>
      </w:pPr>
    </w:p>
    <w:p w14:paraId="0000000F" w14:textId="77777777" w:rsidR="009D7C1F" w:rsidRDefault="009D7C1F">
      <w:pPr>
        <w:rPr>
          <w:rFonts w:ascii="Arial" w:eastAsia="Arial" w:hAnsi="Arial" w:cs="Arial"/>
          <w:b/>
          <w:bCs/>
          <w:sz w:val="22"/>
          <w:szCs w:val="22"/>
        </w:rPr>
      </w:pPr>
    </w:p>
    <w:p w14:paraId="00000010" w14:textId="77777777" w:rsidR="009D7C1F" w:rsidRDefault="00000000">
      <w:pPr>
        <w:rPr>
          <w:rFonts w:ascii="Arial" w:eastAsia="Arial" w:hAnsi="Arial" w:cs="Arial"/>
          <w:sz w:val="22"/>
          <w:szCs w:val="22"/>
        </w:rPr>
      </w:pPr>
      <w:r>
        <w:rPr>
          <w:rFonts w:ascii="Arial" w:eastAsia="Arial" w:hAnsi="Arial" w:cs="Arial"/>
          <w:sz w:val="22"/>
          <w:szCs w:val="22"/>
        </w:rPr>
        <w:t xml:space="preserve">Cordial saludo: </w:t>
      </w:r>
    </w:p>
    <w:p w14:paraId="00000011" w14:textId="77777777" w:rsidR="009D7C1F" w:rsidRDefault="009D7C1F">
      <w:pPr>
        <w:rPr>
          <w:rFonts w:ascii="Arial" w:eastAsia="Arial" w:hAnsi="Arial" w:cs="Arial"/>
          <w:sz w:val="22"/>
          <w:szCs w:val="22"/>
        </w:rPr>
      </w:pPr>
    </w:p>
    <w:p w14:paraId="00000012" w14:textId="77777777" w:rsidR="009D7C1F" w:rsidRDefault="00000000">
      <w:pPr>
        <w:pBdr>
          <w:top w:val="nil"/>
          <w:left w:val="nil"/>
          <w:bottom w:val="nil"/>
          <w:right w:val="nil"/>
          <w:between w:val="nil"/>
        </w:pBdr>
        <w:jc w:val="both"/>
        <w:rPr>
          <w:rFonts w:ascii="Arial" w:eastAsia="Arial" w:hAnsi="Arial" w:cs="Arial"/>
          <w:sz w:val="22"/>
          <w:szCs w:val="22"/>
        </w:rPr>
      </w:pPr>
      <w:r>
        <w:rPr>
          <w:rFonts w:ascii="Arial" w:eastAsia="Arial" w:hAnsi="Arial" w:cs="Arial"/>
          <w:sz w:val="22"/>
          <w:szCs w:val="22"/>
        </w:rPr>
        <w:t>En atención al radicado citado en el asunto, mediante el cual la Honorable Concejal DIANA MARCELA DIAGO GUAQUETA eleva una serie de peticiones dirigidas a esta entidad, nos permitimos dar respuesta en los siguientes términos:</w:t>
      </w:r>
    </w:p>
    <w:p w14:paraId="00000013" w14:textId="77777777" w:rsidR="009D7C1F" w:rsidRDefault="00000000">
      <w:pPr>
        <w:spacing w:before="280" w:after="280"/>
        <w:jc w:val="both"/>
        <w:rPr>
          <w:rFonts w:ascii="Arial" w:eastAsia="Arial" w:hAnsi="Arial" w:cs="Arial"/>
          <w:b/>
          <w:bCs/>
        </w:rPr>
      </w:pPr>
      <w:sdt>
        <w:sdtPr>
          <w:tag w:val="goog_rdk_0"/>
          <w:id w:val="-1613120674"/>
        </w:sdtPr>
        <w:sdtContent>
          <w:commentRangeStart w:id="2"/>
        </w:sdtContent>
      </w:sdt>
      <w:r>
        <w:rPr>
          <w:rFonts w:ascii="Arial" w:eastAsia="Arial" w:hAnsi="Arial" w:cs="Arial"/>
          <w:b/>
          <w:bCs/>
        </w:rPr>
        <w:t>Concentración de PM10</w:t>
      </w:r>
      <w:commentRangeEnd w:id="2"/>
      <w:r>
        <w:rPr>
          <w:rStyle w:val="Refdecomentario"/>
          <w:rFonts w:ascii="Arial" w:eastAsia="Arial" w:hAnsi="Arial" w:cs="Arial"/>
          <w:b/>
          <w:bCs/>
          <w:sz w:val="24"/>
          <w:szCs w:val="24"/>
        </w:rPr>
        <w:commentReference w:id="2"/>
      </w:r>
      <w:r>
        <w:rPr>
          <w:rFonts w:ascii="Arial" w:eastAsia="Arial" w:hAnsi="Arial" w:cs="Arial"/>
          <w:b/>
          <w:bCs/>
        </w:rPr>
        <w:t xml:space="preserve"> (promedio ponderado en microgramos sobre m3): </w:t>
      </w:r>
      <w:r>
        <w:rPr>
          <w:rFonts w:ascii="Arial" w:eastAsia="Arial" w:hAnsi="Arial" w:cs="Arial"/>
          <w:b/>
          <w:bCs/>
          <w:highlight w:val="yellow"/>
        </w:rPr>
        <w:t>(Subdirección encargada de este bloque de preguntas SCAAV)</w:t>
      </w:r>
    </w:p>
    <w:p w14:paraId="00000014" w14:textId="77777777" w:rsidR="009D7C1F" w:rsidRDefault="00000000">
      <w:pPr>
        <w:numPr>
          <w:ilvl w:val="0"/>
          <w:numId w:val="7"/>
        </w:numPr>
        <w:spacing w:before="280"/>
        <w:jc w:val="both"/>
        <w:rPr>
          <w:rFonts w:ascii="Arial" w:eastAsia="Arial" w:hAnsi="Arial" w:cs="Arial"/>
        </w:rPr>
      </w:pPr>
      <w:r>
        <w:rPr>
          <w:rFonts w:ascii="Arial" w:eastAsia="Arial" w:hAnsi="Arial" w:cs="Arial"/>
        </w:rPr>
        <w:t>Indique la concentración promedio ponderada anual de PM10 en Bogotá, expresada en microgramos por metro cúbico (µg/m³), correspondiente al 2025.</w:t>
      </w:r>
    </w:p>
    <w:p w14:paraId="00000015" w14:textId="77777777" w:rsidR="009D7C1F" w:rsidRDefault="00000000">
      <w:pPr>
        <w:spacing w:before="240" w:after="240"/>
        <w:jc w:val="both"/>
        <w:rPr>
          <w:rFonts w:ascii="Arial" w:eastAsia="Arial" w:hAnsi="Arial" w:cs="Arial"/>
        </w:rPr>
      </w:pPr>
      <w:r>
        <w:rPr>
          <w:rFonts w:ascii="Arial" w:eastAsia="Arial" w:hAnsi="Arial" w:cs="Arial"/>
        </w:rPr>
        <w:t xml:space="preserve">El promedio ponderado ciudad anual de PM10 en Bogotá tuvo un valor de </w:t>
      </w:r>
      <w:r>
        <w:rPr>
          <w:rFonts w:ascii="Arial" w:eastAsia="Arial" w:hAnsi="Arial" w:cs="Arial"/>
          <w:b/>
          <w:bCs/>
        </w:rPr>
        <w:t>31,2 µg/m3</w:t>
      </w:r>
      <w:r>
        <w:rPr>
          <w:rFonts w:ascii="Arial" w:eastAsia="Arial" w:hAnsi="Arial" w:cs="Arial"/>
        </w:rPr>
        <w:t xml:space="preserve"> para el periodo 2025, valor obtenido a partir de los datos de promedio anual de cada estación de monitoreo.</w:t>
      </w:r>
    </w:p>
    <w:p w14:paraId="00000016" w14:textId="77777777" w:rsidR="009D7C1F" w:rsidRDefault="00000000">
      <w:pPr>
        <w:spacing w:before="240" w:after="240"/>
        <w:jc w:val="both"/>
        <w:rPr>
          <w:rFonts w:ascii="Arial" w:eastAsia="Arial" w:hAnsi="Arial" w:cs="Arial"/>
        </w:rPr>
      </w:pPr>
      <w:r>
        <w:rPr>
          <w:rFonts w:ascii="Arial" w:eastAsia="Arial" w:hAnsi="Arial" w:cs="Arial"/>
        </w:rPr>
        <w:t>El indicador promedio ponderado ciudad anual de PM10 en Bogotá, considera la distribución poblacional de la zona suroccidental (ZSO) y el resto de la ciudad (R). Se calcula con base en los promedios anuales de concentración de PM10 obtenidos por estación. Se asigna un factor del 40% a las estaciones de la zona suroccidental (Carvajal – Sevillana, Ciudad Bolívar, Fontibón, Kennedy, Móvil Fontibón, Puente Aranda y Tunal) y un 60% a las estaciones restantes (Bolivia, CDAR, Colina, Guaymaral, Jazmín, Ferias, MinAmbiente, Móvil 7ma, San Cristóbal, Suba, Usaquén y Usme), es importante indicar que solo se deben tener en cuenta las estaciones que cumplieron con el criterio de representatividad del 75% de datos válidos. La fórmula del indicador se muestra a continuación:</w:t>
      </w:r>
    </w:p>
    <w:p w14:paraId="00000017" w14:textId="77777777" w:rsidR="009D7C1F" w:rsidRDefault="00000000">
      <w:pPr>
        <w:spacing w:before="240" w:after="240"/>
        <w:jc w:val="both"/>
        <w:rPr>
          <w:rFonts w:ascii="Arial" w:eastAsia="Arial" w:hAnsi="Arial" w:cs="Arial"/>
        </w:rPr>
      </w:pPr>
      <w:r>
        <w:rPr>
          <w:rFonts w:ascii="Arial" w:eastAsia="Arial" w:hAnsi="Arial" w:cs="Arial"/>
          <w:noProof/>
        </w:rPr>
        <w:lastRenderedPageBreak/>
        <w:drawing>
          <wp:inline distT="114300" distB="114300" distL="114300" distR="114300" wp14:anchorId="77D7EBED" wp14:editId="3182D4EA">
            <wp:extent cx="3181350" cy="609600"/>
            <wp:effectExtent l="0" t="0" r="0" b="0"/>
            <wp:docPr id="4"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4"/>
                    <a:srcRect/>
                    <a:stretch>
                      <a:fillRect/>
                    </a:stretch>
                  </pic:blipFill>
                  <pic:spPr>
                    <a:xfrm>
                      <a:off x="0" y="0"/>
                      <a:ext cx="3181350" cy="609600"/>
                    </a:xfrm>
                    <a:prstGeom prst="rect">
                      <a:avLst/>
                    </a:prstGeom>
                    <a:ln/>
                  </pic:spPr>
                </pic:pic>
              </a:graphicData>
            </a:graphic>
          </wp:inline>
        </w:drawing>
      </w:r>
    </w:p>
    <w:p w14:paraId="00000018" w14:textId="77777777" w:rsidR="009D7C1F" w:rsidRDefault="00000000">
      <w:pPr>
        <w:jc w:val="both"/>
        <w:rPr>
          <w:rFonts w:ascii="Arial" w:eastAsia="Arial" w:hAnsi="Arial" w:cs="Arial"/>
          <w:sz w:val="20"/>
          <w:szCs w:val="20"/>
        </w:rPr>
      </w:pPr>
      <w:r>
        <w:rPr>
          <w:rFonts w:ascii="Arial" w:eastAsia="Arial" w:hAnsi="Arial" w:cs="Arial"/>
          <w:b/>
          <w:bCs/>
          <w:sz w:val="20"/>
          <w:szCs w:val="20"/>
        </w:rPr>
        <w:t xml:space="preserve">CPMy  </w:t>
      </w:r>
      <w:r>
        <w:rPr>
          <w:rFonts w:ascii="Arial" w:eastAsia="Arial" w:hAnsi="Arial" w:cs="Arial"/>
          <w:sz w:val="20"/>
          <w:szCs w:val="20"/>
        </w:rPr>
        <w:t xml:space="preserve">  es la concentración de material particulado (PM10), que se desea calcular a nivel ciudad como promedio ponderado en un periodo</w:t>
      </w:r>
    </w:p>
    <w:p w14:paraId="00000019" w14:textId="77777777" w:rsidR="009D7C1F" w:rsidRDefault="00000000">
      <w:pPr>
        <w:jc w:val="both"/>
        <w:rPr>
          <w:rFonts w:ascii="Arial" w:eastAsia="Arial" w:hAnsi="Arial" w:cs="Arial"/>
          <w:sz w:val="20"/>
          <w:szCs w:val="20"/>
        </w:rPr>
      </w:pPr>
      <w:r>
        <w:rPr>
          <w:rFonts w:ascii="Arial" w:eastAsia="Arial" w:hAnsi="Arial" w:cs="Arial"/>
          <w:b/>
          <w:bCs/>
          <w:sz w:val="20"/>
          <w:szCs w:val="20"/>
        </w:rPr>
        <w:t>CiZSO</w:t>
      </w:r>
      <w:r>
        <w:rPr>
          <w:rFonts w:ascii="Arial" w:eastAsia="Arial" w:hAnsi="Arial" w:cs="Arial"/>
          <w:sz w:val="20"/>
          <w:szCs w:val="20"/>
        </w:rPr>
        <w:t xml:space="preserve"> es la concentración en el periodo deseado para una estación i de la zona Suroccidental (ZSO), de la ciudad</w:t>
      </w:r>
    </w:p>
    <w:p w14:paraId="0000001A" w14:textId="77777777" w:rsidR="009D7C1F" w:rsidRDefault="00000000">
      <w:pPr>
        <w:jc w:val="both"/>
        <w:rPr>
          <w:rFonts w:ascii="Arial" w:eastAsia="Arial" w:hAnsi="Arial" w:cs="Arial"/>
          <w:sz w:val="20"/>
          <w:szCs w:val="20"/>
        </w:rPr>
      </w:pPr>
      <w:r>
        <w:rPr>
          <w:rFonts w:ascii="Arial" w:eastAsia="Arial" w:hAnsi="Arial" w:cs="Arial"/>
          <w:b/>
          <w:bCs/>
          <w:sz w:val="20"/>
          <w:szCs w:val="20"/>
        </w:rPr>
        <w:t>n</w:t>
      </w:r>
      <w:r>
        <w:rPr>
          <w:rFonts w:ascii="Arial" w:eastAsia="Arial" w:hAnsi="Arial" w:cs="Arial"/>
          <w:sz w:val="20"/>
          <w:szCs w:val="20"/>
        </w:rPr>
        <w:t xml:space="preserve"> es el número de estaciones que entran en el cálculo para la ZSO dependiendo de la representatividad de los datos para el periodo escogido</w:t>
      </w:r>
    </w:p>
    <w:p w14:paraId="0000001B" w14:textId="77777777" w:rsidR="009D7C1F" w:rsidRDefault="00000000">
      <w:pPr>
        <w:jc w:val="both"/>
        <w:rPr>
          <w:rFonts w:ascii="Arial" w:eastAsia="Arial" w:hAnsi="Arial" w:cs="Arial"/>
          <w:sz w:val="20"/>
          <w:szCs w:val="20"/>
        </w:rPr>
      </w:pPr>
      <w:r>
        <w:rPr>
          <w:rFonts w:ascii="Arial" w:eastAsia="Arial" w:hAnsi="Arial" w:cs="Arial"/>
          <w:b/>
          <w:bCs/>
          <w:sz w:val="20"/>
          <w:szCs w:val="20"/>
        </w:rPr>
        <w:t>CjR</w:t>
      </w:r>
      <w:r>
        <w:rPr>
          <w:rFonts w:ascii="Arial" w:eastAsia="Arial" w:hAnsi="Arial" w:cs="Arial"/>
          <w:sz w:val="20"/>
          <w:szCs w:val="20"/>
        </w:rPr>
        <w:t xml:space="preserve"> es la concentración en el periodo deseado para una estación j del resto de la ciudad (sin incluir la ZSO)</w:t>
      </w:r>
    </w:p>
    <w:p w14:paraId="0000001C" w14:textId="77777777" w:rsidR="009D7C1F" w:rsidRDefault="00000000">
      <w:pPr>
        <w:jc w:val="both"/>
        <w:rPr>
          <w:rFonts w:ascii="Arial" w:eastAsia="Arial" w:hAnsi="Arial" w:cs="Arial"/>
          <w:sz w:val="20"/>
          <w:szCs w:val="20"/>
        </w:rPr>
      </w:pPr>
      <w:r>
        <w:rPr>
          <w:rFonts w:ascii="Arial" w:eastAsia="Arial" w:hAnsi="Arial" w:cs="Arial"/>
          <w:b/>
          <w:bCs/>
          <w:sz w:val="20"/>
          <w:szCs w:val="20"/>
        </w:rPr>
        <w:t>m</w:t>
      </w:r>
      <w:r>
        <w:rPr>
          <w:rFonts w:ascii="Arial" w:eastAsia="Arial" w:hAnsi="Arial" w:cs="Arial"/>
          <w:sz w:val="20"/>
          <w:szCs w:val="20"/>
        </w:rPr>
        <w:t xml:space="preserve"> es el número de estaciones que entran en el cálculo para el resto de la ciudad dependiendo de la representatividad de los datos para el periodo escogido</w:t>
      </w:r>
    </w:p>
    <w:p w14:paraId="0000001D" w14:textId="77777777" w:rsidR="009D7C1F" w:rsidRDefault="009D7C1F">
      <w:pPr>
        <w:spacing w:before="240"/>
        <w:jc w:val="both"/>
        <w:rPr>
          <w:rFonts w:ascii="Arial" w:eastAsia="Arial" w:hAnsi="Arial" w:cs="Arial"/>
        </w:rPr>
      </w:pPr>
    </w:p>
    <w:p w14:paraId="0000001E" w14:textId="77777777" w:rsidR="009D7C1F" w:rsidRDefault="00000000">
      <w:pPr>
        <w:numPr>
          <w:ilvl w:val="0"/>
          <w:numId w:val="7"/>
        </w:numPr>
        <w:jc w:val="both"/>
        <w:rPr>
          <w:rFonts w:ascii="Arial" w:eastAsia="Arial" w:hAnsi="Arial" w:cs="Arial"/>
        </w:rPr>
      </w:pPr>
      <w:r>
        <w:rPr>
          <w:rFonts w:ascii="Arial" w:eastAsia="Arial" w:hAnsi="Arial" w:cs="Arial"/>
        </w:rPr>
        <w:t>Presente la evolución histórica de este indicador en los últimos 10 años.</w:t>
      </w:r>
    </w:p>
    <w:p w14:paraId="0000001F" w14:textId="77777777" w:rsidR="009D7C1F" w:rsidRDefault="009D7C1F">
      <w:pPr>
        <w:jc w:val="both"/>
        <w:rPr>
          <w:rFonts w:ascii="Arial" w:eastAsia="Arial" w:hAnsi="Arial" w:cs="Arial"/>
        </w:rPr>
      </w:pPr>
    </w:p>
    <w:p w14:paraId="00000020" w14:textId="77777777" w:rsidR="009D7C1F" w:rsidRDefault="00000000">
      <w:pPr>
        <w:jc w:val="both"/>
        <w:rPr>
          <w:rFonts w:ascii="Arial" w:eastAsia="Arial" w:hAnsi="Arial" w:cs="Arial"/>
        </w:rPr>
      </w:pPr>
      <w:r>
        <w:rPr>
          <w:rFonts w:ascii="Arial" w:eastAsia="Arial" w:hAnsi="Arial" w:cs="Arial"/>
        </w:rPr>
        <w:t xml:space="preserve">No se tiene un récord histórico de los últimos 10 años de este indicador, debido a que el promedio ponderado anual ciudad se definió inicialmente con una línea base a partir de 13 estaciones de monitoreo en el marco del Plan Distrital de Desarrollo 2020 – 2024 “Un Nuevo Contrato Social y Ambiental para la Bogotá del Siglo XXI”, con el fin de cuantificar la meta trazadora de reducción de 10% en el cuatrienio; posteriormente la métrica fue modificada en el marco del PDD </w:t>
      </w:r>
      <w:r>
        <w:rPr>
          <w:rFonts w:ascii="Arial" w:eastAsia="Arial" w:hAnsi="Arial" w:cs="Arial"/>
          <w:b/>
          <w:bCs/>
        </w:rPr>
        <w:t xml:space="preserve">2024-2027 “Bogotá Camina Segura” </w:t>
      </w:r>
      <w:r>
        <w:rPr>
          <w:rFonts w:ascii="Arial" w:eastAsia="Arial" w:hAnsi="Arial" w:cs="Arial"/>
        </w:rPr>
        <w:t>estructurando un nuevo valor de línea base en 2023 a partir de datos de 19 estaciones de monitoreo, para cuantificar la meta de Reducir un 8% como promedio ponderado ciudad la concentración de PM10.</w:t>
      </w:r>
    </w:p>
    <w:p w14:paraId="00000021" w14:textId="77777777" w:rsidR="009D7C1F" w:rsidRDefault="009D7C1F">
      <w:pPr>
        <w:jc w:val="both"/>
        <w:rPr>
          <w:rFonts w:ascii="Arial" w:eastAsia="Arial" w:hAnsi="Arial" w:cs="Arial"/>
        </w:rPr>
      </w:pPr>
    </w:p>
    <w:p w14:paraId="00000022" w14:textId="77777777" w:rsidR="009D7C1F" w:rsidRDefault="00000000">
      <w:pPr>
        <w:jc w:val="both"/>
        <w:rPr>
          <w:rFonts w:ascii="Arial" w:eastAsia="Arial" w:hAnsi="Arial" w:cs="Arial"/>
          <w:i/>
          <w:iCs/>
        </w:rPr>
      </w:pPr>
      <w:r>
        <w:rPr>
          <w:rFonts w:ascii="Arial" w:eastAsia="Arial" w:hAnsi="Arial" w:cs="Arial"/>
          <w:i/>
          <w:iCs/>
        </w:rPr>
        <w:t>Resultados promedio ponderado 2020 - 2023</w:t>
      </w:r>
    </w:p>
    <w:p w14:paraId="00000023" w14:textId="77777777" w:rsidR="009D7C1F" w:rsidRDefault="009D7C1F">
      <w:pPr>
        <w:jc w:val="both"/>
        <w:rPr>
          <w:rFonts w:ascii="Arial" w:eastAsia="Arial" w:hAnsi="Arial" w:cs="Arial"/>
        </w:rPr>
      </w:pPr>
    </w:p>
    <w:p w14:paraId="00000024" w14:textId="77777777" w:rsidR="009D7C1F" w:rsidRDefault="00000000">
      <w:pPr>
        <w:jc w:val="both"/>
        <w:rPr>
          <w:rFonts w:ascii="Arial" w:eastAsia="Arial" w:hAnsi="Arial" w:cs="Arial"/>
        </w:rPr>
      </w:pPr>
      <w:r>
        <w:rPr>
          <w:rFonts w:ascii="Arial" w:eastAsia="Arial" w:hAnsi="Arial" w:cs="Arial"/>
        </w:rPr>
        <w:t xml:space="preserve">Con corte a 31 de diciembre de 2023, para PM10 se tuvo un promedio ponderado ciudad de 34,9 µg/m3, que representa una </w:t>
      </w:r>
      <w:r>
        <w:rPr>
          <w:rFonts w:ascii="Arial" w:eastAsia="Arial" w:hAnsi="Arial" w:cs="Arial"/>
          <w:b/>
          <w:bCs/>
        </w:rPr>
        <w:t>reducción de 3,4 µg/m3 equivalente a un 8,9%</w:t>
      </w:r>
      <w:r>
        <w:rPr>
          <w:rFonts w:ascii="Arial" w:eastAsia="Arial" w:hAnsi="Arial" w:cs="Arial"/>
        </w:rPr>
        <w:t xml:space="preserve"> respecto a la línea base 2019 (38,3 µg/m3) meta PDD. </w:t>
      </w:r>
    </w:p>
    <w:p w14:paraId="00000025" w14:textId="77777777" w:rsidR="009D7C1F" w:rsidRDefault="009D7C1F">
      <w:pPr>
        <w:jc w:val="both"/>
        <w:rPr>
          <w:rFonts w:ascii="Arial" w:eastAsia="Arial" w:hAnsi="Arial" w:cs="Arial"/>
        </w:rPr>
      </w:pPr>
    </w:p>
    <w:p w14:paraId="00000026" w14:textId="77777777" w:rsidR="009D7C1F" w:rsidRDefault="00000000">
      <w:pPr>
        <w:jc w:val="both"/>
        <w:rPr>
          <w:rFonts w:ascii="Arial" w:eastAsia="Arial" w:hAnsi="Arial" w:cs="Arial"/>
          <w:i/>
          <w:iCs/>
        </w:rPr>
      </w:pPr>
      <w:r>
        <w:rPr>
          <w:rFonts w:ascii="Arial" w:eastAsia="Arial" w:hAnsi="Arial" w:cs="Arial"/>
          <w:i/>
          <w:iCs/>
        </w:rPr>
        <w:t>Resultados promedio ponderado 2024 - 2027</w:t>
      </w:r>
    </w:p>
    <w:p w14:paraId="00000027" w14:textId="77777777" w:rsidR="009D7C1F" w:rsidRDefault="009D7C1F">
      <w:pPr>
        <w:jc w:val="both"/>
        <w:rPr>
          <w:rFonts w:ascii="Arial" w:eastAsia="Arial" w:hAnsi="Arial" w:cs="Arial"/>
        </w:rPr>
      </w:pPr>
    </w:p>
    <w:p w14:paraId="00000028" w14:textId="77777777" w:rsidR="009D7C1F" w:rsidRDefault="00000000">
      <w:pPr>
        <w:jc w:val="both"/>
        <w:rPr>
          <w:rFonts w:ascii="Arial" w:eastAsia="Arial" w:hAnsi="Arial" w:cs="Arial"/>
        </w:rPr>
      </w:pPr>
      <w:r>
        <w:rPr>
          <w:rFonts w:ascii="Arial" w:eastAsia="Arial" w:hAnsi="Arial" w:cs="Arial"/>
        </w:rPr>
        <w:t>Con corte a 31 de diciembre de 2025 el indicador presentó una reducción que representó un 5% respecto a la línea base, superando el 4% proyectado para la vigencia , lo cual es positivo para el avance en el cumplimiento de la meta.</w:t>
      </w:r>
    </w:p>
    <w:p w14:paraId="00000029" w14:textId="77777777" w:rsidR="009D7C1F" w:rsidRDefault="009D7C1F">
      <w:pPr>
        <w:jc w:val="both"/>
        <w:rPr>
          <w:rFonts w:ascii="Arial" w:eastAsia="Arial" w:hAnsi="Arial" w:cs="Arial"/>
        </w:rPr>
      </w:pPr>
    </w:p>
    <w:p w14:paraId="0000002A" w14:textId="77777777" w:rsidR="009D7C1F" w:rsidRDefault="00000000">
      <w:pPr>
        <w:numPr>
          <w:ilvl w:val="0"/>
          <w:numId w:val="7"/>
        </w:numPr>
        <w:jc w:val="both"/>
        <w:rPr>
          <w:rFonts w:ascii="Arial" w:eastAsia="Arial" w:hAnsi="Arial" w:cs="Arial"/>
        </w:rPr>
      </w:pPr>
      <w:r>
        <w:rPr>
          <w:rFonts w:ascii="Arial" w:eastAsia="Arial" w:hAnsi="Arial" w:cs="Arial"/>
        </w:rPr>
        <w:t>Desagregue la información por estación de monitoreo y localidad.</w:t>
      </w:r>
    </w:p>
    <w:p w14:paraId="0000002B" w14:textId="77777777" w:rsidR="009D7C1F" w:rsidRDefault="009D7C1F">
      <w:pPr>
        <w:jc w:val="both"/>
        <w:rPr>
          <w:rFonts w:ascii="Arial" w:eastAsia="Arial" w:hAnsi="Arial" w:cs="Arial"/>
        </w:rPr>
      </w:pPr>
    </w:p>
    <w:p w14:paraId="0000002C" w14:textId="77777777" w:rsidR="009D7C1F" w:rsidRDefault="00000000">
      <w:pPr>
        <w:jc w:val="both"/>
        <w:rPr>
          <w:rFonts w:ascii="Arial" w:eastAsia="Arial" w:hAnsi="Arial" w:cs="Arial"/>
        </w:rPr>
      </w:pPr>
      <w:r>
        <w:rPr>
          <w:rFonts w:ascii="Arial" w:eastAsia="Arial" w:hAnsi="Arial" w:cs="Arial"/>
        </w:rPr>
        <w:lastRenderedPageBreak/>
        <w:t>El indicador promedio ponderado anual ciudad, como su nombre indica y conforme se explicó en el punto 1 respecto a su forma de cálculo, es un indicador a nivel de ciudad, por lo tanto no es posible desagregar este valor por estación o por localidad.</w:t>
      </w:r>
    </w:p>
    <w:p w14:paraId="0000002D" w14:textId="77777777" w:rsidR="009D7C1F" w:rsidRDefault="009D7C1F">
      <w:pPr>
        <w:jc w:val="both"/>
        <w:rPr>
          <w:rFonts w:ascii="Arial" w:eastAsia="Arial" w:hAnsi="Arial" w:cs="Arial"/>
        </w:rPr>
      </w:pPr>
    </w:p>
    <w:p w14:paraId="0000002E" w14:textId="77777777" w:rsidR="009D7C1F" w:rsidRDefault="00000000">
      <w:pPr>
        <w:jc w:val="both"/>
        <w:rPr>
          <w:rFonts w:ascii="Arial" w:eastAsia="Arial" w:hAnsi="Arial" w:cs="Arial"/>
        </w:rPr>
      </w:pPr>
      <w:r>
        <w:rPr>
          <w:rFonts w:ascii="Arial" w:eastAsia="Arial" w:hAnsi="Arial" w:cs="Arial"/>
        </w:rPr>
        <w:t>A nivel de estaciones, lo que normalmente se calcula son los promedios anuales de concentración en µg/m3, los cuales junto con el porcentaje de datos válidos se muestran a continuación:</w:t>
      </w:r>
    </w:p>
    <w:p w14:paraId="0000002F" w14:textId="77777777" w:rsidR="009D7C1F" w:rsidRDefault="009D7C1F">
      <w:pPr>
        <w:jc w:val="both"/>
        <w:rPr>
          <w:rFonts w:ascii="Arial" w:eastAsia="Arial" w:hAnsi="Arial" w:cs="Arial"/>
        </w:rPr>
      </w:pPr>
    </w:p>
    <w:p w14:paraId="00000030" w14:textId="77777777" w:rsidR="009D7C1F" w:rsidRDefault="009D7C1F">
      <w:pPr>
        <w:jc w:val="both"/>
        <w:rPr>
          <w:rFonts w:ascii="Arial" w:eastAsia="Arial" w:hAnsi="Arial" w:cs="Arial"/>
        </w:rPr>
      </w:pPr>
    </w:p>
    <w:tbl>
      <w:tblPr>
        <w:tblStyle w:val="a"/>
        <w:tblW w:w="646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595"/>
        <w:gridCol w:w="1515"/>
        <w:gridCol w:w="2355"/>
      </w:tblGrid>
      <w:tr w:rsidR="009D7C1F" w14:paraId="460670E9" w14:textId="77777777">
        <w:tc>
          <w:tcPr>
            <w:tcW w:w="2595" w:type="dxa"/>
            <w:tcBorders>
              <w:top w:val="single" w:sz="6" w:space="0" w:color="000000"/>
              <w:left w:val="single" w:sz="6" w:space="0" w:color="000000"/>
              <w:bottom w:val="single" w:sz="6" w:space="0" w:color="000000"/>
              <w:right w:val="single" w:sz="6" w:space="0" w:color="000000"/>
            </w:tcBorders>
            <w:shd w:val="clear" w:color="auto" w:fill="92D050"/>
            <w:tcMar>
              <w:top w:w="0" w:type="dxa"/>
              <w:left w:w="0" w:type="dxa"/>
              <w:bottom w:w="0" w:type="dxa"/>
              <w:right w:w="0" w:type="dxa"/>
            </w:tcMar>
            <w:vAlign w:val="bottom"/>
          </w:tcPr>
          <w:p w14:paraId="00000031" w14:textId="77777777" w:rsidR="009D7C1F" w:rsidRDefault="00000000">
            <w:pPr>
              <w:spacing w:line="276" w:lineRule="auto"/>
              <w:jc w:val="both"/>
              <w:rPr>
                <w:rFonts w:ascii="Arial" w:eastAsia="Arial" w:hAnsi="Arial" w:cs="Arial"/>
                <w:b/>
                <w:bCs/>
                <w:sz w:val="20"/>
                <w:szCs w:val="20"/>
              </w:rPr>
            </w:pPr>
            <w:r>
              <w:rPr>
                <w:rFonts w:ascii="Arial" w:eastAsia="Arial" w:hAnsi="Arial" w:cs="Arial"/>
                <w:b/>
                <w:bCs/>
                <w:sz w:val="20"/>
                <w:szCs w:val="20"/>
              </w:rPr>
              <w:t>Estación</w:t>
            </w:r>
          </w:p>
        </w:tc>
        <w:tc>
          <w:tcPr>
            <w:tcW w:w="1515" w:type="dxa"/>
            <w:tcBorders>
              <w:top w:val="single" w:sz="6" w:space="0" w:color="000000"/>
              <w:left w:val="nil"/>
              <w:bottom w:val="single" w:sz="6" w:space="0" w:color="000000"/>
              <w:right w:val="single" w:sz="6" w:space="0" w:color="000000"/>
            </w:tcBorders>
            <w:shd w:val="clear" w:color="auto" w:fill="92D050"/>
            <w:tcMar>
              <w:top w:w="0" w:type="dxa"/>
              <w:left w:w="0" w:type="dxa"/>
              <w:bottom w:w="0" w:type="dxa"/>
              <w:right w:w="0" w:type="dxa"/>
            </w:tcMar>
            <w:vAlign w:val="bottom"/>
          </w:tcPr>
          <w:p w14:paraId="00000032" w14:textId="77777777" w:rsidR="009D7C1F" w:rsidRDefault="00000000">
            <w:pPr>
              <w:spacing w:line="276" w:lineRule="auto"/>
              <w:jc w:val="both"/>
              <w:rPr>
                <w:rFonts w:ascii="Arial" w:eastAsia="Arial" w:hAnsi="Arial" w:cs="Arial"/>
                <w:b/>
                <w:bCs/>
                <w:sz w:val="20"/>
                <w:szCs w:val="20"/>
              </w:rPr>
            </w:pPr>
            <w:r>
              <w:rPr>
                <w:rFonts w:ascii="Arial" w:eastAsia="Arial" w:hAnsi="Arial" w:cs="Arial"/>
                <w:b/>
                <w:bCs/>
                <w:sz w:val="20"/>
                <w:szCs w:val="20"/>
              </w:rPr>
              <w:t>Promedio anual</w:t>
            </w:r>
          </w:p>
        </w:tc>
        <w:tc>
          <w:tcPr>
            <w:tcW w:w="2355" w:type="dxa"/>
            <w:tcBorders>
              <w:top w:val="single" w:sz="6" w:space="0" w:color="000000"/>
              <w:left w:val="nil"/>
              <w:bottom w:val="single" w:sz="6" w:space="0" w:color="000000"/>
              <w:right w:val="single" w:sz="6" w:space="0" w:color="000000"/>
            </w:tcBorders>
            <w:shd w:val="clear" w:color="auto" w:fill="92D050"/>
            <w:tcMar>
              <w:top w:w="0" w:type="dxa"/>
              <w:left w:w="0" w:type="dxa"/>
              <w:bottom w:w="0" w:type="dxa"/>
              <w:right w:w="0" w:type="dxa"/>
            </w:tcMar>
            <w:vAlign w:val="bottom"/>
          </w:tcPr>
          <w:p w14:paraId="00000033" w14:textId="77777777" w:rsidR="009D7C1F" w:rsidRDefault="00000000">
            <w:pPr>
              <w:spacing w:line="276" w:lineRule="auto"/>
              <w:jc w:val="both"/>
              <w:rPr>
                <w:rFonts w:ascii="Arial" w:eastAsia="Arial" w:hAnsi="Arial" w:cs="Arial"/>
                <w:b/>
                <w:bCs/>
                <w:sz w:val="20"/>
                <w:szCs w:val="20"/>
              </w:rPr>
            </w:pPr>
            <w:r>
              <w:rPr>
                <w:rFonts w:ascii="Arial" w:eastAsia="Arial" w:hAnsi="Arial" w:cs="Arial"/>
                <w:b/>
                <w:bCs/>
                <w:sz w:val="20"/>
                <w:szCs w:val="20"/>
              </w:rPr>
              <w:t>Datos válidos (%)</w:t>
            </w:r>
          </w:p>
        </w:tc>
      </w:tr>
      <w:tr w:rsidR="009D7C1F" w14:paraId="00267D54" w14:textId="77777777">
        <w:tc>
          <w:tcPr>
            <w:tcW w:w="2595" w:type="dxa"/>
            <w:tcBorders>
              <w:top w:val="nil"/>
              <w:left w:val="single" w:sz="6" w:space="0" w:color="000000"/>
              <w:bottom w:val="single" w:sz="6" w:space="0" w:color="000000"/>
              <w:right w:val="single" w:sz="6" w:space="0" w:color="000000"/>
            </w:tcBorders>
            <w:tcMar>
              <w:top w:w="0" w:type="dxa"/>
              <w:left w:w="0" w:type="dxa"/>
              <w:bottom w:w="0" w:type="dxa"/>
              <w:right w:w="0" w:type="dxa"/>
            </w:tcMar>
            <w:vAlign w:val="bottom"/>
          </w:tcPr>
          <w:p w14:paraId="00000034" w14:textId="77777777" w:rsidR="009D7C1F" w:rsidRDefault="00000000">
            <w:pPr>
              <w:spacing w:line="276" w:lineRule="auto"/>
              <w:jc w:val="center"/>
              <w:rPr>
                <w:rFonts w:ascii="Arial" w:eastAsia="Arial" w:hAnsi="Arial" w:cs="Arial"/>
                <w:sz w:val="20"/>
                <w:szCs w:val="20"/>
              </w:rPr>
            </w:pPr>
            <w:r>
              <w:rPr>
                <w:rFonts w:ascii="Arial" w:eastAsia="Arial" w:hAnsi="Arial" w:cs="Arial"/>
                <w:sz w:val="20"/>
                <w:szCs w:val="20"/>
              </w:rPr>
              <w:t>Bolivia</w:t>
            </w:r>
          </w:p>
        </w:tc>
        <w:tc>
          <w:tcPr>
            <w:tcW w:w="1515" w:type="dxa"/>
            <w:tcBorders>
              <w:top w:val="nil"/>
              <w:left w:val="nil"/>
              <w:bottom w:val="single" w:sz="6" w:space="0" w:color="000000"/>
              <w:right w:val="single" w:sz="6" w:space="0" w:color="000000"/>
            </w:tcBorders>
            <w:tcMar>
              <w:top w:w="0" w:type="dxa"/>
              <w:left w:w="0" w:type="dxa"/>
              <w:bottom w:w="0" w:type="dxa"/>
              <w:right w:w="0" w:type="dxa"/>
            </w:tcMar>
            <w:vAlign w:val="bottom"/>
          </w:tcPr>
          <w:p w14:paraId="00000035" w14:textId="77777777" w:rsidR="009D7C1F" w:rsidRDefault="00000000">
            <w:pPr>
              <w:spacing w:line="276" w:lineRule="auto"/>
              <w:jc w:val="center"/>
              <w:rPr>
                <w:rFonts w:ascii="Arial" w:eastAsia="Arial" w:hAnsi="Arial" w:cs="Arial"/>
                <w:sz w:val="20"/>
                <w:szCs w:val="20"/>
              </w:rPr>
            </w:pPr>
            <w:r>
              <w:rPr>
                <w:rFonts w:ascii="Arial" w:eastAsia="Arial" w:hAnsi="Arial" w:cs="Arial"/>
                <w:sz w:val="20"/>
                <w:szCs w:val="20"/>
              </w:rPr>
              <w:t>30,3</w:t>
            </w:r>
          </w:p>
        </w:tc>
        <w:tc>
          <w:tcPr>
            <w:tcW w:w="2355" w:type="dxa"/>
            <w:tcBorders>
              <w:top w:val="nil"/>
              <w:left w:val="nil"/>
              <w:bottom w:val="single" w:sz="6" w:space="0" w:color="000000"/>
              <w:right w:val="single" w:sz="6" w:space="0" w:color="000000"/>
            </w:tcBorders>
            <w:tcMar>
              <w:top w:w="0" w:type="dxa"/>
              <w:left w:w="0" w:type="dxa"/>
              <w:bottom w:w="0" w:type="dxa"/>
              <w:right w:w="0" w:type="dxa"/>
            </w:tcMar>
            <w:vAlign w:val="bottom"/>
          </w:tcPr>
          <w:p w14:paraId="00000036" w14:textId="77777777" w:rsidR="009D7C1F" w:rsidRDefault="00000000">
            <w:pPr>
              <w:spacing w:line="276" w:lineRule="auto"/>
              <w:jc w:val="center"/>
              <w:rPr>
                <w:rFonts w:ascii="Arial" w:eastAsia="Arial" w:hAnsi="Arial" w:cs="Arial"/>
                <w:sz w:val="20"/>
                <w:szCs w:val="20"/>
              </w:rPr>
            </w:pPr>
            <w:r>
              <w:rPr>
                <w:rFonts w:ascii="Arial" w:eastAsia="Arial" w:hAnsi="Arial" w:cs="Arial"/>
                <w:sz w:val="20"/>
                <w:szCs w:val="20"/>
              </w:rPr>
              <w:t>98%</w:t>
            </w:r>
          </w:p>
        </w:tc>
      </w:tr>
      <w:tr w:rsidR="009D7C1F" w14:paraId="5FA2BB75" w14:textId="77777777">
        <w:tc>
          <w:tcPr>
            <w:tcW w:w="2595" w:type="dxa"/>
            <w:tcBorders>
              <w:top w:val="nil"/>
              <w:left w:val="single" w:sz="6" w:space="0" w:color="000000"/>
              <w:bottom w:val="single" w:sz="6" w:space="0" w:color="000000"/>
              <w:right w:val="single" w:sz="6" w:space="0" w:color="000000"/>
            </w:tcBorders>
            <w:tcMar>
              <w:top w:w="0" w:type="dxa"/>
              <w:left w:w="0" w:type="dxa"/>
              <w:bottom w:w="0" w:type="dxa"/>
              <w:right w:w="0" w:type="dxa"/>
            </w:tcMar>
            <w:vAlign w:val="bottom"/>
          </w:tcPr>
          <w:p w14:paraId="00000037" w14:textId="77777777" w:rsidR="009D7C1F" w:rsidRDefault="00000000">
            <w:pPr>
              <w:spacing w:line="276" w:lineRule="auto"/>
              <w:jc w:val="center"/>
              <w:rPr>
                <w:rFonts w:ascii="Arial" w:eastAsia="Arial" w:hAnsi="Arial" w:cs="Arial"/>
                <w:sz w:val="20"/>
                <w:szCs w:val="20"/>
              </w:rPr>
            </w:pPr>
            <w:r>
              <w:rPr>
                <w:rFonts w:ascii="Arial" w:eastAsia="Arial" w:hAnsi="Arial" w:cs="Arial"/>
                <w:sz w:val="20"/>
                <w:szCs w:val="20"/>
              </w:rPr>
              <w:t>Carvajal - Sevillana</w:t>
            </w:r>
          </w:p>
        </w:tc>
        <w:tc>
          <w:tcPr>
            <w:tcW w:w="1515" w:type="dxa"/>
            <w:tcBorders>
              <w:top w:val="nil"/>
              <w:left w:val="nil"/>
              <w:bottom w:val="single" w:sz="6" w:space="0" w:color="000000"/>
              <w:right w:val="single" w:sz="6" w:space="0" w:color="000000"/>
            </w:tcBorders>
            <w:tcMar>
              <w:top w:w="0" w:type="dxa"/>
              <w:left w:w="0" w:type="dxa"/>
              <w:bottom w:w="0" w:type="dxa"/>
              <w:right w:w="0" w:type="dxa"/>
            </w:tcMar>
            <w:vAlign w:val="bottom"/>
          </w:tcPr>
          <w:p w14:paraId="00000038" w14:textId="77777777" w:rsidR="009D7C1F" w:rsidRDefault="00000000">
            <w:pPr>
              <w:spacing w:line="276" w:lineRule="auto"/>
              <w:jc w:val="center"/>
              <w:rPr>
                <w:rFonts w:ascii="Arial" w:eastAsia="Arial" w:hAnsi="Arial" w:cs="Arial"/>
                <w:sz w:val="20"/>
                <w:szCs w:val="20"/>
              </w:rPr>
            </w:pPr>
            <w:r>
              <w:rPr>
                <w:rFonts w:ascii="Arial" w:eastAsia="Arial" w:hAnsi="Arial" w:cs="Arial"/>
                <w:sz w:val="20"/>
                <w:szCs w:val="20"/>
              </w:rPr>
              <w:t>71,2</w:t>
            </w:r>
          </w:p>
        </w:tc>
        <w:tc>
          <w:tcPr>
            <w:tcW w:w="2355" w:type="dxa"/>
            <w:tcBorders>
              <w:top w:val="nil"/>
              <w:left w:val="nil"/>
              <w:bottom w:val="single" w:sz="6" w:space="0" w:color="000000"/>
              <w:right w:val="single" w:sz="6" w:space="0" w:color="000000"/>
            </w:tcBorders>
            <w:tcMar>
              <w:top w:w="0" w:type="dxa"/>
              <w:left w:w="0" w:type="dxa"/>
              <w:bottom w:w="0" w:type="dxa"/>
              <w:right w:w="0" w:type="dxa"/>
            </w:tcMar>
            <w:vAlign w:val="bottom"/>
          </w:tcPr>
          <w:p w14:paraId="00000039" w14:textId="77777777" w:rsidR="009D7C1F" w:rsidRDefault="00000000">
            <w:pPr>
              <w:spacing w:line="276" w:lineRule="auto"/>
              <w:jc w:val="center"/>
              <w:rPr>
                <w:rFonts w:ascii="Arial" w:eastAsia="Arial" w:hAnsi="Arial" w:cs="Arial"/>
                <w:sz w:val="20"/>
                <w:szCs w:val="20"/>
              </w:rPr>
            </w:pPr>
            <w:r>
              <w:rPr>
                <w:rFonts w:ascii="Arial" w:eastAsia="Arial" w:hAnsi="Arial" w:cs="Arial"/>
                <w:sz w:val="20"/>
                <w:szCs w:val="20"/>
              </w:rPr>
              <w:t>98%</w:t>
            </w:r>
          </w:p>
        </w:tc>
      </w:tr>
      <w:tr w:rsidR="009D7C1F" w14:paraId="00FE5D56" w14:textId="77777777">
        <w:tc>
          <w:tcPr>
            <w:tcW w:w="2595" w:type="dxa"/>
            <w:tcBorders>
              <w:top w:val="nil"/>
              <w:left w:val="single" w:sz="6" w:space="0" w:color="000000"/>
              <w:bottom w:val="single" w:sz="6" w:space="0" w:color="000000"/>
              <w:right w:val="single" w:sz="6" w:space="0" w:color="000000"/>
            </w:tcBorders>
            <w:tcMar>
              <w:top w:w="0" w:type="dxa"/>
              <w:left w:w="0" w:type="dxa"/>
              <w:bottom w:w="0" w:type="dxa"/>
              <w:right w:w="0" w:type="dxa"/>
            </w:tcMar>
            <w:vAlign w:val="bottom"/>
          </w:tcPr>
          <w:p w14:paraId="0000003A" w14:textId="77777777" w:rsidR="009D7C1F" w:rsidRDefault="00000000">
            <w:pPr>
              <w:spacing w:line="276" w:lineRule="auto"/>
              <w:jc w:val="center"/>
              <w:rPr>
                <w:rFonts w:ascii="Arial" w:eastAsia="Arial" w:hAnsi="Arial" w:cs="Arial"/>
                <w:sz w:val="20"/>
                <w:szCs w:val="20"/>
              </w:rPr>
            </w:pPr>
            <w:r>
              <w:rPr>
                <w:rFonts w:ascii="Arial" w:eastAsia="Arial" w:hAnsi="Arial" w:cs="Arial"/>
                <w:sz w:val="20"/>
                <w:szCs w:val="20"/>
              </w:rPr>
              <w:t>Centro de Alto Rendimiento</w:t>
            </w:r>
          </w:p>
        </w:tc>
        <w:tc>
          <w:tcPr>
            <w:tcW w:w="1515" w:type="dxa"/>
            <w:tcBorders>
              <w:top w:val="nil"/>
              <w:left w:val="nil"/>
              <w:bottom w:val="single" w:sz="6" w:space="0" w:color="000000"/>
              <w:right w:val="single" w:sz="6" w:space="0" w:color="000000"/>
            </w:tcBorders>
            <w:tcMar>
              <w:top w:w="0" w:type="dxa"/>
              <w:left w:w="0" w:type="dxa"/>
              <w:bottom w:w="0" w:type="dxa"/>
              <w:right w:w="0" w:type="dxa"/>
            </w:tcMar>
            <w:vAlign w:val="bottom"/>
          </w:tcPr>
          <w:p w14:paraId="0000003B" w14:textId="77777777" w:rsidR="009D7C1F" w:rsidRDefault="00000000">
            <w:pPr>
              <w:spacing w:line="276" w:lineRule="auto"/>
              <w:jc w:val="center"/>
              <w:rPr>
                <w:rFonts w:ascii="Arial" w:eastAsia="Arial" w:hAnsi="Arial" w:cs="Arial"/>
                <w:sz w:val="20"/>
                <w:szCs w:val="20"/>
              </w:rPr>
            </w:pPr>
            <w:r>
              <w:rPr>
                <w:rFonts w:ascii="Arial" w:eastAsia="Arial" w:hAnsi="Arial" w:cs="Arial"/>
                <w:sz w:val="20"/>
                <w:szCs w:val="20"/>
              </w:rPr>
              <w:t>21,0</w:t>
            </w:r>
          </w:p>
        </w:tc>
        <w:tc>
          <w:tcPr>
            <w:tcW w:w="2355" w:type="dxa"/>
            <w:tcBorders>
              <w:top w:val="nil"/>
              <w:left w:val="nil"/>
              <w:bottom w:val="single" w:sz="6" w:space="0" w:color="000000"/>
              <w:right w:val="single" w:sz="6" w:space="0" w:color="000000"/>
            </w:tcBorders>
            <w:tcMar>
              <w:top w:w="0" w:type="dxa"/>
              <w:left w:w="0" w:type="dxa"/>
              <w:bottom w:w="0" w:type="dxa"/>
              <w:right w:w="0" w:type="dxa"/>
            </w:tcMar>
            <w:vAlign w:val="bottom"/>
          </w:tcPr>
          <w:p w14:paraId="0000003C" w14:textId="77777777" w:rsidR="009D7C1F" w:rsidRDefault="00000000">
            <w:pPr>
              <w:spacing w:line="276" w:lineRule="auto"/>
              <w:jc w:val="center"/>
              <w:rPr>
                <w:rFonts w:ascii="Arial" w:eastAsia="Arial" w:hAnsi="Arial" w:cs="Arial"/>
                <w:sz w:val="20"/>
                <w:szCs w:val="20"/>
              </w:rPr>
            </w:pPr>
            <w:r>
              <w:rPr>
                <w:rFonts w:ascii="Arial" w:eastAsia="Arial" w:hAnsi="Arial" w:cs="Arial"/>
                <w:sz w:val="20"/>
                <w:szCs w:val="20"/>
              </w:rPr>
              <w:t>88%</w:t>
            </w:r>
          </w:p>
        </w:tc>
      </w:tr>
      <w:tr w:rsidR="009D7C1F" w14:paraId="394F6856" w14:textId="77777777">
        <w:tc>
          <w:tcPr>
            <w:tcW w:w="2595" w:type="dxa"/>
            <w:tcBorders>
              <w:top w:val="nil"/>
              <w:left w:val="single" w:sz="6" w:space="0" w:color="000000"/>
              <w:bottom w:val="single" w:sz="6" w:space="0" w:color="000000"/>
              <w:right w:val="single" w:sz="6" w:space="0" w:color="000000"/>
            </w:tcBorders>
            <w:tcMar>
              <w:top w:w="0" w:type="dxa"/>
              <w:left w:w="0" w:type="dxa"/>
              <w:bottom w:w="0" w:type="dxa"/>
              <w:right w:w="0" w:type="dxa"/>
            </w:tcMar>
            <w:vAlign w:val="bottom"/>
          </w:tcPr>
          <w:p w14:paraId="0000003D" w14:textId="77777777" w:rsidR="009D7C1F" w:rsidRDefault="00000000">
            <w:pPr>
              <w:spacing w:line="276" w:lineRule="auto"/>
              <w:jc w:val="center"/>
              <w:rPr>
                <w:rFonts w:ascii="Arial" w:eastAsia="Arial" w:hAnsi="Arial" w:cs="Arial"/>
                <w:sz w:val="20"/>
                <w:szCs w:val="20"/>
              </w:rPr>
            </w:pPr>
            <w:r>
              <w:rPr>
                <w:rFonts w:ascii="Arial" w:eastAsia="Arial" w:hAnsi="Arial" w:cs="Arial"/>
                <w:sz w:val="20"/>
                <w:szCs w:val="20"/>
              </w:rPr>
              <w:t>Ciudad Bolivar</w:t>
            </w:r>
          </w:p>
        </w:tc>
        <w:tc>
          <w:tcPr>
            <w:tcW w:w="1515" w:type="dxa"/>
            <w:tcBorders>
              <w:top w:val="nil"/>
              <w:left w:val="nil"/>
              <w:bottom w:val="single" w:sz="6" w:space="0" w:color="000000"/>
              <w:right w:val="single" w:sz="6" w:space="0" w:color="000000"/>
            </w:tcBorders>
            <w:tcMar>
              <w:top w:w="0" w:type="dxa"/>
              <w:left w:w="0" w:type="dxa"/>
              <w:bottom w:w="0" w:type="dxa"/>
              <w:right w:w="0" w:type="dxa"/>
            </w:tcMar>
            <w:vAlign w:val="bottom"/>
          </w:tcPr>
          <w:p w14:paraId="0000003E" w14:textId="77777777" w:rsidR="009D7C1F" w:rsidRDefault="00000000">
            <w:pPr>
              <w:spacing w:line="276" w:lineRule="auto"/>
              <w:jc w:val="center"/>
              <w:rPr>
                <w:rFonts w:ascii="Arial" w:eastAsia="Arial" w:hAnsi="Arial" w:cs="Arial"/>
                <w:sz w:val="20"/>
                <w:szCs w:val="20"/>
              </w:rPr>
            </w:pPr>
            <w:r>
              <w:rPr>
                <w:rFonts w:ascii="Arial" w:eastAsia="Arial" w:hAnsi="Arial" w:cs="Arial"/>
                <w:sz w:val="20"/>
                <w:szCs w:val="20"/>
              </w:rPr>
              <w:t>34,3</w:t>
            </w:r>
          </w:p>
        </w:tc>
        <w:tc>
          <w:tcPr>
            <w:tcW w:w="2355" w:type="dxa"/>
            <w:tcBorders>
              <w:top w:val="nil"/>
              <w:left w:val="nil"/>
              <w:bottom w:val="single" w:sz="6" w:space="0" w:color="000000"/>
              <w:right w:val="single" w:sz="6" w:space="0" w:color="000000"/>
            </w:tcBorders>
            <w:tcMar>
              <w:top w:w="0" w:type="dxa"/>
              <w:left w:w="0" w:type="dxa"/>
              <w:bottom w:w="0" w:type="dxa"/>
              <w:right w:w="0" w:type="dxa"/>
            </w:tcMar>
            <w:vAlign w:val="bottom"/>
          </w:tcPr>
          <w:p w14:paraId="0000003F" w14:textId="77777777" w:rsidR="009D7C1F" w:rsidRDefault="00000000">
            <w:pPr>
              <w:spacing w:line="276" w:lineRule="auto"/>
              <w:jc w:val="center"/>
              <w:rPr>
                <w:rFonts w:ascii="Arial" w:eastAsia="Arial" w:hAnsi="Arial" w:cs="Arial"/>
                <w:sz w:val="20"/>
                <w:szCs w:val="20"/>
              </w:rPr>
            </w:pPr>
            <w:r>
              <w:rPr>
                <w:rFonts w:ascii="Arial" w:eastAsia="Arial" w:hAnsi="Arial" w:cs="Arial"/>
                <w:sz w:val="20"/>
                <w:szCs w:val="20"/>
              </w:rPr>
              <w:t>99%</w:t>
            </w:r>
          </w:p>
        </w:tc>
      </w:tr>
      <w:tr w:rsidR="009D7C1F" w14:paraId="366278A5" w14:textId="77777777">
        <w:tc>
          <w:tcPr>
            <w:tcW w:w="2595" w:type="dxa"/>
            <w:tcBorders>
              <w:top w:val="nil"/>
              <w:left w:val="single" w:sz="6" w:space="0" w:color="000000"/>
              <w:bottom w:val="single" w:sz="6" w:space="0" w:color="000000"/>
              <w:right w:val="single" w:sz="6" w:space="0" w:color="000000"/>
            </w:tcBorders>
            <w:tcMar>
              <w:top w:w="0" w:type="dxa"/>
              <w:left w:w="0" w:type="dxa"/>
              <w:bottom w:w="0" w:type="dxa"/>
              <w:right w:w="0" w:type="dxa"/>
            </w:tcMar>
            <w:vAlign w:val="bottom"/>
          </w:tcPr>
          <w:p w14:paraId="00000040" w14:textId="77777777" w:rsidR="009D7C1F" w:rsidRDefault="00000000">
            <w:pPr>
              <w:spacing w:line="276" w:lineRule="auto"/>
              <w:jc w:val="center"/>
              <w:rPr>
                <w:rFonts w:ascii="Arial" w:eastAsia="Arial" w:hAnsi="Arial" w:cs="Arial"/>
                <w:sz w:val="20"/>
                <w:szCs w:val="20"/>
              </w:rPr>
            </w:pPr>
            <w:r>
              <w:rPr>
                <w:rFonts w:ascii="Arial" w:eastAsia="Arial" w:hAnsi="Arial" w:cs="Arial"/>
                <w:sz w:val="20"/>
                <w:szCs w:val="20"/>
              </w:rPr>
              <w:t>Colina*</w:t>
            </w:r>
          </w:p>
        </w:tc>
        <w:tc>
          <w:tcPr>
            <w:tcW w:w="1515" w:type="dxa"/>
            <w:tcBorders>
              <w:top w:val="nil"/>
              <w:left w:val="nil"/>
              <w:bottom w:val="single" w:sz="6" w:space="0" w:color="000000"/>
              <w:right w:val="single" w:sz="6" w:space="0" w:color="000000"/>
            </w:tcBorders>
            <w:tcMar>
              <w:top w:w="0" w:type="dxa"/>
              <w:left w:w="0" w:type="dxa"/>
              <w:bottom w:w="0" w:type="dxa"/>
              <w:right w:w="0" w:type="dxa"/>
            </w:tcMar>
            <w:vAlign w:val="bottom"/>
          </w:tcPr>
          <w:p w14:paraId="00000041" w14:textId="77777777" w:rsidR="009D7C1F" w:rsidRDefault="00000000">
            <w:pPr>
              <w:spacing w:line="276" w:lineRule="auto"/>
              <w:jc w:val="center"/>
              <w:rPr>
                <w:rFonts w:ascii="Arial" w:eastAsia="Arial" w:hAnsi="Arial" w:cs="Arial"/>
                <w:sz w:val="20"/>
                <w:szCs w:val="20"/>
              </w:rPr>
            </w:pPr>
            <w:r>
              <w:rPr>
                <w:rFonts w:ascii="Arial" w:eastAsia="Arial" w:hAnsi="Arial" w:cs="Arial"/>
                <w:sz w:val="20"/>
                <w:szCs w:val="20"/>
              </w:rPr>
              <w:t>15,3</w:t>
            </w:r>
          </w:p>
        </w:tc>
        <w:tc>
          <w:tcPr>
            <w:tcW w:w="2355" w:type="dxa"/>
            <w:tcBorders>
              <w:top w:val="nil"/>
              <w:left w:val="nil"/>
              <w:bottom w:val="single" w:sz="6" w:space="0" w:color="000000"/>
              <w:right w:val="single" w:sz="6" w:space="0" w:color="000000"/>
            </w:tcBorders>
            <w:tcMar>
              <w:top w:w="0" w:type="dxa"/>
              <w:left w:w="0" w:type="dxa"/>
              <w:bottom w:w="0" w:type="dxa"/>
              <w:right w:w="0" w:type="dxa"/>
            </w:tcMar>
            <w:vAlign w:val="bottom"/>
          </w:tcPr>
          <w:p w14:paraId="00000042" w14:textId="77777777" w:rsidR="009D7C1F" w:rsidRDefault="00000000">
            <w:pPr>
              <w:spacing w:line="276" w:lineRule="auto"/>
              <w:jc w:val="center"/>
              <w:rPr>
                <w:rFonts w:ascii="Arial" w:eastAsia="Arial" w:hAnsi="Arial" w:cs="Arial"/>
                <w:sz w:val="20"/>
                <w:szCs w:val="20"/>
              </w:rPr>
            </w:pPr>
            <w:r>
              <w:rPr>
                <w:rFonts w:ascii="Arial" w:eastAsia="Arial" w:hAnsi="Arial" w:cs="Arial"/>
                <w:sz w:val="20"/>
                <w:szCs w:val="20"/>
              </w:rPr>
              <w:t>71%</w:t>
            </w:r>
          </w:p>
        </w:tc>
      </w:tr>
      <w:tr w:rsidR="009D7C1F" w14:paraId="7ABB293B" w14:textId="77777777">
        <w:tc>
          <w:tcPr>
            <w:tcW w:w="2595" w:type="dxa"/>
            <w:tcBorders>
              <w:top w:val="nil"/>
              <w:left w:val="single" w:sz="6" w:space="0" w:color="000000"/>
              <w:bottom w:val="single" w:sz="6" w:space="0" w:color="000000"/>
              <w:right w:val="single" w:sz="6" w:space="0" w:color="000000"/>
            </w:tcBorders>
            <w:tcMar>
              <w:top w:w="0" w:type="dxa"/>
              <w:left w:w="0" w:type="dxa"/>
              <w:bottom w:w="0" w:type="dxa"/>
              <w:right w:w="0" w:type="dxa"/>
            </w:tcMar>
            <w:vAlign w:val="bottom"/>
          </w:tcPr>
          <w:p w14:paraId="00000043" w14:textId="77777777" w:rsidR="009D7C1F" w:rsidRDefault="00000000">
            <w:pPr>
              <w:spacing w:line="276" w:lineRule="auto"/>
              <w:jc w:val="center"/>
              <w:rPr>
                <w:rFonts w:ascii="Arial" w:eastAsia="Arial" w:hAnsi="Arial" w:cs="Arial"/>
                <w:sz w:val="20"/>
                <w:szCs w:val="20"/>
              </w:rPr>
            </w:pPr>
            <w:r>
              <w:rPr>
                <w:rFonts w:ascii="Arial" w:eastAsia="Arial" w:hAnsi="Arial" w:cs="Arial"/>
                <w:sz w:val="20"/>
                <w:szCs w:val="20"/>
              </w:rPr>
              <w:t>Fontibon</w:t>
            </w:r>
          </w:p>
        </w:tc>
        <w:tc>
          <w:tcPr>
            <w:tcW w:w="1515" w:type="dxa"/>
            <w:tcBorders>
              <w:top w:val="nil"/>
              <w:left w:val="nil"/>
              <w:bottom w:val="single" w:sz="6" w:space="0" w:color="000000"/>
              <w:right w:val="single" w:sz="6" w:space="0" w:color="000000"/>
            </w:tcBorders>
            <w:tcMar>
              <w:top w:w="0" w:type="dxa"/>
              <w:left w:w="0" w:type="dxa"/>
              <w:bottom w:w="0" w:type="dxa"/>
              <w:right w:w="0" w:type="dxa"/>
            </w:tcMar>
            <w:vAlign w:val="bottom"/>
          </w:tcPr>
          <w:p w14:paraId="00000044" w14:textId="77777777" w:rsidR="009D7C1F" w:rsidRDefault="00000000">
            <w:pPr>
              <w:spacing w:line="276" w:lineRule="auto"/>
              <w:jc w:val="center"/>
              <w:rPr>
                <w:rFonts w:ascii="Arial" w:eastAsia="Arial" w:hAnsi="Arial" w:cs="Arial"/>
                <w:sz w:val="20"/>
                <w:szCs w:val="20"/>
              </w:rPr>
            </w:pPr>
            <w:r>
              <w:rPr>
                <w:rFonts w:ascii="Arial" w:eastAsia="Arial" w:hAnsi="Arial" w:cs="Arial"/>
                <w:sz w:val="20"/>
                <w:szCs w:val="20"/>
              </w:rPr>
              <w:t>26,6</w:t>
            </w:r>
          </w:p>
        </w:tc>
        <w:tc>
          <w:tcPr>
            <w:tcW w:w="2355" w:type="dxa"/>
            <w:tcBorders>
              <w:top w:val="nil"/>
              <w:left w:val="nil"/>
              <w:bottom w:val="single" w:sz="6" w:space="0" w:color="000000"/>
              <w:right w:val="single" w:sz="6" w:space="0" w:color="000000"/>
            </w:tcBorders>
            <w:tcMar>
              <w:top w:w="0" w:type="dxa"/>
              <w:left w:w="0" w:type="dxa"/>
              <w:bottom w:w="0" w:type="dxa"/>
              <w:right w:w="0" w:type="dxa"/>
            </w:tcMar>
            <w:vAlign w:val="bottom"/>
          </w:tcPr>
          <w:p w14:paraId="00000045" w14:textId="77777777" w:rsidR="009D7C1F" w:rsidRDefault="00000000">
            <w:pPr>
              <w:spacing w:line="276" w:lineRule="auto"/>
              <w:jc w:val="center"/>
              <w:rPr>
                <w:rFonts w:ascii="Arial" w:eastAsia="Arial" w:hAnsi="Arial" w:cs="Arial"/>
                <w:sz w:val="20"/>
                <w:szCs w:val="20"/>
              </w:rPr>
            </w:pPr>
            <w:r>
              <w:rPr>
                <w:rFonts w:ascii="Arial" w:eastAsia="Arial" w:hAnsi="Arial" w:cs="Arial"/>
                <w:sz w:val="20"/>
                <w:szCs w:val="20"/>
              </w:rPr>
              <w:t>82%</w:t>
            </w:r>
          </w:p>
        </w:tc>
      </w:tr>
      <w:tr w:rsidR="009D7C1F" w14:paraId="7929ADB9" w14:textId="77777777">
        <w:tc>
          <w:tcPr>
            <w:tcW w:w="2595" w:type="dxa"/>
            <w:tcBorders>
              <w:top w:val="nil"/>
              <w:left w:val="single" w:sz="6" w:space="0" w:color="000000"/>
              <w:bottom w:val="single" w:sz="6" w:space="0" w:color="000000"/>
              <w:right w:val="single" w:sz="6" w:space="0" w:color="000000"/>
            </w:tcBorders>
            <w:tcMar>
              <w:top w:w="0" w:type="dxa"/>
              <w:left w:w="0" w:type="dxa"/>
              <w:bottom w:w="0" w:type="dxa"/>
              <w:right w:w="0" w:type="dxa"/>
            </w:tcMar>
            <w:vAlign w:val="bottom"/>
          </w:tcPr>
          <w:p w14:paraId="00000046" w14:textId="77777777" w:rsidR="009D7C1F" w:rsidRDefault="00000000">
            <w:pPr>
              <w:spacing w:line="276" w:lineRule="auto"/>
              <w:jc w:val="center"/>
              <w:rPr>
                <w:rFonts w:ascii="Arial" w:eastAsia="Arial" w:hAnsi="Arial" w:cs="Arial"/>
                <w:sz w:val="20"/>
                <w:szCs w:val="20"/>
              </w:rPr>
            </w:pPr>
            <w:r>
              <w:rPr>
                <w:rFonts w:ascii="Arial" w:eastAsia="Arial" w:hAnsi="Arial" w:cs="Arial"/>
                <w:sz w:val="20"/>
                <w:szCs w:val="20"/>
              </w:rPr>
              <w:t>Guaymaral</w:t>
            </w:r>
          </w:p>
        </w:tc>
        <w:tc>
          <w:tcPr>
            <w:tcW w:w="1515" w:type="dxa"/>
            <w:tcBorders>
              <w:top w:val="nil"/>
              <w:left w:val="nil"/>
              <w:bottom w:val="single" w:sz="6" w:space="0" w:color="000000"/>
              <w:right w:val="single" w:sz="6" w:space="0" w:color="000000"/>
            </w:tcBorders>
            <w:tcMar>
              <w:top w:w="0" w:type="dxa"/>
              <w:left w:w="0" w:type="dxa"/>
              <w:bottom w:w="0" w:type="dxa"/>
              <w:right w:w="0" w:type="dxa"/>
            </w:tcMar>
            <w:vAlign w:val="bottom"/>
          </w:tcPr>
          <w:p w14:paraId="00000047" w14:textId="77777777" w:rsidR="009D7C1F" w:rsidRDefault="00000000">
            <w:pPr>
              <w:spacing w:line="276" w:lineRule="auto"/>
              <w:jc w:val="center"/>
              <w:rPr>
                <w:rFonts w:ascii="Arial" w:eastAsia="Arial" w:hAnsi="Arial" w:cs="Arial"/>
                <w:sz w:val="20"/>
                <w:szCs w:val="20"/>
              </w:rPr>
            </w:pPr>
            <w:r>
              <w:rPr>
                <w:rFonts w:ascii="Arial" w:eastAsia="Arial" w:hAnsi="Arial" w:cs="Arial"/>
                <w:sz w:val="20"/>
                <w:szCs w:val="20"/>
              </w:rPr>
              <w:t>25,6</w:t>
            </w:r>
          </w:p>
        </w:tc>
        <w:tc>
          <w:tcPr>
            <w:tcW w:w="2355" w:type="dxa"/>
            <w:tcBorders>
              <w:top w:val="nil"/>
              <w:left w:val="nil"/>
              <w:bottom w:val="single" w:sz="6" w:space="0" w:color="000000"/>
              <w:right w:val="single" w:sz="6" w:space="0" w:color="000000"/>
            </w:tcBorders>
            <w:tcMar>
              <w:top w:w="0" w:type="dxa"/>
              <w:left w:w="0" w:type="dxa"/>
              <w:bottom w:w="0" w:type="dxa"/>
              <w:right w:w="0" w:type="dxa"/>
            </w:tcMar>
            <w:vAlign w:val="bottom"/>
          </w:tcPr>
          <w:p w14:paraId="00000048" w14:textId="77777777" w:rsidR="009D7C1F" w:rsidRDefault="00000000">
            <w:pPr>
              <w:spacing w:line="276" w:lineRule="auto"/>
              <w:jc w:val="center"/>
              <w:rPr>
                <w:rFonts w:ascii="Arial" w:eastAsia="Arial" w:hAnsi="Arial" w:cs="Arial"/>
                <w:sz w:val="20"/>
                <w:szCs w:val="20"/>
              </w:rPr>
            </w:pPr>
            <w:r>
              <w:rPr>
                <w:rFonts w:ascii="Arial" w:eastAsia="Arial" w:hAnsi="Arial" w:cs="Arial"/>
                <w:sz w:val="20"/>
                <w:szCs w:val="20"/>
              </w:rPr>
              <w:t>87%</w:t>
            </w:r>
          </w:p>
        </w:tc>
      </w:tr>
      <w:tr w:rsidR="009D7C1F" w14:paraId="4EFA849F" w14:textId="77777777">
        <w:tc>
          <w:tcPr>
            <w:tcW w:w="2595" w:type="dxa"/>
            <w:tcBorders>
              <w:top w:val="nil"/>
              <w:left w:val="single" w:sz="6" w:space="0" w:color="000000"/>
              <w:bottom w:val="single" w:sz="6" w:space="0" w:color="000000"/>
              <w:right w:val="single" w:sz="6" w:space="0" w:color="000000"/>
            </w:tcBorders>
            <w:tcMar>
              <w:top w:w="0" w:type="dxa"/>
              <w:left w:w="0" w:type="dxa"/>
              <w:bottom w:w="0" w:type="dxa"/>
              <w:right w:w="0" w:type="dxa"/>
            </w:tcMar>
            <w:vAlign w:val="bottom"/>
          </w:tcPr>
          <w:p w14:paraId="00000049" w14:textId="77777777" w:rsidR="009D7C1F" w:rsidRDefault="00000000">
            <w:pPr>
              <w:spacing w:line="276" w:lineRule="auto"/>
              <w:jc w:val="center"/>
              <w:rPr>
                <w:rFonts w:ascii="Arial" w:eastAsia="Arial" w:hAnsi="Arial" w:cs="Arial"/>
                <w:sz w:val="20"/>
                <w:szCs w:val="20"/>
              </w:rPr>
            </w:pPr>
            <w:r>
              <w:rPr>
                <w:rFonts w:ascii="Arial" w:eastAsia="Arial" w:hAnsi="Arial" w:cs="Arial"/>
                <w:sz w:val="20"/>
                <w:szCs w:val="20"/>
              </w:rPr>
              <w:t>Jazmin</w:t>
            </w:r>
          </w:p>
        </w:tc>
        <w:tc>
          <w:tcPr>
            <w:tcW w:w="1515" w:type="dxa"/>
            <w:tcBorders>
              <w:top w:val="nil"/>
              <w:left w:val="nil"/>
              <w:bottom w:val="single" w:sz="6" w:space="0" w:color="000000"/>
              <w:right w:val="single" w:sz="6" w:space="0" w:color="000000"/>
            </w:tcBorders>
            <w:tcMar>
              <w:top w:w="0" w:type="dxa"/>
              <w:left w:w="0" w:type="dxa"/>
              <w:bottom w:w="0" w:type="dxa"/>
              <w:right w:w="0" w:type="dxa"/>
            </w:tcMar>
            <w:vAlign w:val="bottom"/>
          </w:tcPr>
          <w:p w14:paraId="0000004A" w14:textId="77777777" w:rsidR="009D7C1F" w:rsidRDefault="00000000">
            <w:pPr>
              <w:spacing w:line="276" w:lineRule="auto"/>
              <w:jc w:val="center"/>
              <w:rPr>
                <w:rFonts w:ascii="Arial" w:eastAsia="Arial" w:hAnsi="Arial" w:cs="Arial"/>
                <w:sz w:val="20"/>
                <w:szCs w:val="20"/>
              </w:rPr>
            </w:pPr>
            <w:r>
              <w:rPr>
                <w:rFonts w:ascii="Arial" w:eastAsia="Arial" w:hAnsi="Arial" w:cs="Arial"/>
                <w:sz w:val="20"/>
                <w:szCs w:val="20"/>
              </w:rPr>
              <w:t>27,5</w:t>
            </w:r>
          </w:p>
        </w:tc>
        <w:tc>
          <w:tcPr>
            <w:tcW w:w="2355" w:type="dxa"/>
            <w:tcBorders>
              <w:top w:val="nil"/>
              <w:left w:val="nil"/>
              <w:bottom w:val="single" w:sz="6" w:space="0" w:color="000000"/>
              <w:right w:val="single" w:sz="6" w:space="0" w:color="000000"/>
            </w:tcBorders>
            <w:tcMar>
              <w:top w:w="0" w:type="dxa"/>
              <w:left w:w="0" w:type="dxa"/>
              <w:bottom w:w="0" w:type="dxa"/>
              <w:right w:w="0" w:type="dxa"/>
            </w:tcMar>
            <w:vAlign w:val="bottom"/>
          </w:tcPr>
          <w:p w14:paraId="0000004B" w14:textId="77777777" w:rsidR="009D7C1F" w:rsidRDefault="00000000">
            <w:pPr>
              <w:spacing w:line="276" w:lineRule="auto"/>
              <w:jc w:val="center"/>
              <w:rPr>
                <w:rFonts w:ascii="Arial" w:eastAsia="Arial" w:hAnsi="Arial" w:cs="Arial"/>
                <w:sz w:val="20"/>
                <w:szCs w:val="20"/>
              </w:rPr>
            </w:pPr>
            <w:r>
              <w:rPr>
                <w:rFonts w:ascii="Arial" w:eastAsia="Arial" w:hAnsi="Arial" w:cs="Arial"/>
                <w:sz w:val="20"/>
                <w:szCs w:val="20"/>
              </w:rPr>
              <w:t>96%</w:t>
            </w:r>
          </w:p>
        </w:tc>
      </w:tr>
      <w:tr w:rsidR="009D7C1F" w14:paraId="7BBEAFAF" w14:textId="77777777">
        <w:tc>
          <w:tcPr>
            <w:tcW w:w="2595" w:type="dxa"/>
            <w:tcBorders>
              <w:top w:val="nil"/>
              <w:left w:val="single" w:sz="6" w:space="0" w:color="000000"/>
              <w:bottom w:val="single" w:sz="6" w:space="0" w:color="000000"/>
              <w:right w:val="single" w:sz="6" w:space="0" w:color="000000"/>
            </w:tcBorders>
            <w:tcMar>
              <w:top w:w="0" w:type="dxa"/>
              <w:left w:w="0" w:type="dxa"/>
              <w:bottom w:w="0" w:type="dxa"/>
              <w:right w:w="0" w:type="dxa"/>
            </w:tcMar>
            <w:vAlign w:val="bottom"/>
          </w:tcPr>
          <w:p w14:paraId="0000004C" w14:textId="77777777" w:rsidR="009D7C1F" w:rsidRDefault="00000000">
            <w:pPr>
              <w:spacing w:line="276" w:lineRule="auto"/>
              <w:jc w:val="center"/>
              <w:rPr>
                <w:rFonts w:ascii="Arial" w:eastAsia="Arial" w:hAnsi="Arial" w:cs="Arial"/>
                <w:sz w:val="20"/>
                <w:szCs w:val="20"/>
              </w:rPr>
            </w:pPr>
            <w:r>
              <w:rPr>
                <w:rFonts w:ascii="Arial" w:eastAsia="Arial" w:hAnsi="Arial" w:cs="Arial"/>
                <w:sz w:val="20"/>
                <w:szCs w:val="20"/>
              </w:rPr>
              <w:t>Kennedy</w:t>
            </w:r>
          </w:p>
        </w:tc>
        <w:tc>
          <w:tcPr>
            <w:tcW w:w="1515" w:type="dxa"/>
            <w:tcBorders>
              <w:top w:val="nil"/>
              <w:left w:val="nil"/>
              <w:bottom w:val="single" w:sz="6" w:space="0" w:color="000000"/>
              <w:right w:val="single" w:sz="6" w:space="0" w:color="000000"/>
            </w:tcBorders>
            <w:tcMar>
              <w:top w:w="0" w:type="dxa"/>
              <w:left w:w="0" w:type="dxa"/>
              <w:bottom w:w="0" w:type="dxa"/>
              <w:right w:w="0" w:type="dxa"/>
            </w:tcMar>
            <w:vAlign w:val="bottom"/>
          </w:tcPr>
          <w:p w14:paraId="0000004D" w14:textId="77777777" w:rsidR="009D7C1F" w:rsidRDefault="00000000">
            <w:pPr>
              <w:spacing w:line="276" w:lineRule="auto"/>
              <w:jc w:val="center"/>
              <w:rPr>
                <w:rFonts w:ascii="Arial" w:eastAsia="Arial" w:hAnsi="Arial" w:cs="Arial"/>
                <w:sz w:val="20"/>
                <w:szCs w:val="20"/>
              </w:rPr>
            </w:pPr>
            <w:r>
              <w:rPr>
                <w:rFonts w:ascii="Arial" w:eastAsia="Arial" w:hAnsi="Arial" w:cs="Arial"/>
                <w:sz w:val="20"/>
                <w:szCs w:val="20"/>
              </w:rPr>
              <w:t>34,5</w:t>
            </w:r>
          </w:p>
        </w:tc>
        <w:tc>
          <w:tcPr>
            <w:tcW w:w="2355" w:type="dxa"/>
            <w:tcBorders>
              <w:top w:val="nil"/>
              <w:left w:val="nil"/>
              <w:bottom w:val="single" w:sz="6" w:space="0" w:color="000000"/>
              <w:right w:val="single" w:sz="6" w:space="0" w:color="000000"/>
            </w:tcBorders>
            <w:tcMar>
              <w:top w:w="0" w:type="dxa"/>
              <w:left w:w="0" w:type="dxa"/>
              <w:bottom w:w="0" w:type="dxa"/>
              <w:right w:w="0" w:type="dxa"/>
            </w:tcMar>
            <w:vAlign w:val="bottom"/>
          </w:tcPr>
          <w:p w14:paraId="0000004E" w14:textId="77777777" w:rsidR="009D7C1F" w:rsidRDefault="00000000">
            <w:pPr>
              <w:spacing w:line="276" w:lineRule="auto"/>
              <w:jc w:val="center"/>
              <w:rPr>
                <w:rFonts w:ascii="Arial" w:eastAsia="Arial" w:hAnsi="Arial" w:cs="Arial"/>
                <w:sz w:val="20"/>
                <w:szCs w:val="20"/>
              </w:rPr>
            </w:pPr>
            <w:r>
              <w:rPr>
                <w:rFonts w:ascii="Arial" w:eastAsia="Arial" w:hAnsi="Arial" w:cs="Arial"/>
                <w:sz w:val="20"/>
                <w:szCs w:val="20"/>
              </w:rPr>
              <w:t>94%</w:t>
            </w:r>
          </w:p>
        </w:tc>
      </w:tr>
      <w:tr w:rsidR="009D7C1F" w14:paraId="5D66CA4D" w14:textId="77777777">
        <w:tc>
          <w:tcPr>
            <w:tcW w:w="2595" w:type="dxa"/>
            <w:tcBorders>
              <w:top w:val="nil"/>
              <w:left w:val="single" w:sz="6" w:space="0" w:color="000000"/>
              <w:bottom w:val="single" w:sz="6" w:space="0" w:color="000000"/>
              <w:right w:val="single" w:sz="6" w:space="0" w:color="000000"/>
            </w:tcBorders>
            <w:tcMar>
              <w:top w:w="0" w:type="dxa"/>
              <w:left w:w="0" w:type="dxa"/>
              <w:bottom w:w="0" w:type="dxa"/>
              <w:right w:w="0" w:type="dxa"/>
            </w:tcMar>
            <w:vAlign w:val="bottom"/>
          </w:tcPr>
          <w:p w14:paraId="0000004F" w14:textId="77777777" w:rsidR="009D7C1F" w:rsidRDefault="00000000">
            <w:pPr>
              <w:spacing w:line="276" w:lineRule="auto"/>
              <w:jc w:val="center"/>
              <w:rPr>
                <w:rFonts w:ascii="Arial" w:eastAsia="Arial" w:hAnsi="Arial" w:cs="Arial"/>
                <w:sz w:val="20"/>
                <w:szCs w:val="20"/>
              </w:rPr>
            </w:pPr>
            <w:r>
              <w:rPr>
                <w:rFonts w:ascii="Arial" w:eastAsia="Arial" w:hAnsi="Arial" w:cs="Arial"/>
                <w:sz w:val="20"/>
                <w:szCs w:val="20"/>
              </w:rPr>
              <w:t>Las Ferias</w:t>
            </w:r>
          </w:p>
        </w:tc>
        <w:tc>
          <w:tcPr>
            <w:tcW w:w="1515" w:type="dxa"/>
            <w:tcBorders>
              <w:top w:val="nil"/>
              <w:left w:val="nil"/>
              <w:bottom w:val="single" w:sz="6" w:space="0" w:color="000000"/>
              <w:right w:val="single" w:sz="6" w:space="0" w:color="000000"/>
            </w:tcBorders>
            <w:tcMar>
              <w:top w:w="0" w:type="dxa"/>
              <w:left w:w="0" w:type="dxa"/>
              <w:bottom w:w="0" w:type="dxa"/>
              <w:right w:w="0" w:type="dxa"/>
            </w:tcMar>
            <w:vAlign w:val="bottom"/>
          </w:tcPr>
          <w:p w14:paraId="00000050" w14:textId="77777777" w:rsidR="009D7C1F" w:rsidRDefault="00000000">
            <w:pPr>
              <w:spacing w:line="276" w:lineRule="auto"/>
              <w:jc w:val="center"/>
              <w:rPr>
                <w:rFonts w:ascii="Arial" w:eastAsia="Arial" w:hAnsi="Arial" w:cs="Arial"/>
                <w:sz w:val="20"/>
                <w:szCs w:val="20"/>
              </w:rPr>
            </w:pPr>
            <w:r>
              <w:rPr>
                <w:rFonts w:ascii="Arial" w:eastAsia="Arial" w:hAnsi="Arial" w:cs="Arial"/>
                <w:sz w:val="20"/>
                <w:szCs w:val="20"/>
              </w:rPr>
              <w:t>20,2</w:t>
            </w:r>
          </w:p>
        </w:tc>
        <w:tc>
          <w:tcPr>
            <w:tcW w:w="2355" w:type="dxa"/>
            <w:tcBorders>
              <w:top w:val="nil"/>
              <w:left w:val="nil"/>
              <w:bottom w:val="single" w:sz="6" w:space="0" w:color="000000"/>
              <w:right w:val="single" w:sz="6" w:space="0" w:color="000000"/>
            </w:tcBorders>
            <w:tcMar>
              <w:top w:w="0" w:type="dxa"/>
              <w:left w:w="0" w:type="dxa"/>
              <w:bottom w:w="0" w:type="dxa"/>
              <w:right w:w="0" w:type="dxa"/>
            </w:tcMar>
            <w:vAlign w:val="bottom"/>
          </w:tcPr>
          <w:p w14:paraId="00000051" w14:textId="77777777" w:rsidR="009D7C1F" w:rsidRDefault="00000000">
            <w:pPr>
              <w:spacing w:line="276" w:lineRule="auto"/>
              <w:jc w:val="center"/>
              <w:rPr>
                <w:rFonts w:ascii="Arial" w:eastAsia="Arial" w:hAnsi="Arial" w:cs="Arial"/>
                <w:sz w:val="20"/>
                <w:szCs w:val="20"/>
              </w:rPr>
            </w:pPr>
            <w:r>
              <w:rPr>
                <w:rFonts w:ascii="Arial" w:eastAsia="Arial" w:hAnsi="Arial" w:cs="Arial"/>
                <w:sz w:val="20"/>
                <w:szCs w:val="20"/>
              </w:rPr>
              <w:t>84%</w:t>
            </w:r>
          </w:p>
        </w:tc>
      </w:tr>
      <w:tr w:rsidR="009D7C1F" w14:paraId="4B6BE462" w14:textId="77777777">
        <w:tc>
          <w:tcPr>
            <w:tcW w:w="2595" w:type="dxa"/>
            <w:tcBorders>
              <w:top w:val="nil"/>
              <w:left w:val="single" w:sz="6" w:space="0" w:color="000000"/>
              <w:bottom w:val="single" w:sz="6" w:space="0" w:color="000000"/>
              <w:right w:val="single" w:sz="6" w:space="0" w:color="000000"/>
            </w:tcBorders>
            <w:tcMar>
              <w:top w:w="0" w:type="dxa"/>
              <w:left w:w="0" w:type="dxa"/>
              <w:bottom w:w="0" w:type="dxa"/>
              <w:right w:w="0" w:type="dxa"/>
            </w:tcMar>
            <w:vAlign w:val="bottom"/>
          </w:tcPr>
          <w:p w14:paraId="00000052" w14:textId="77777777" w:rsidR="009D7C1F" w:rsidRDefault="00000000">
            <w:pPr>
              <w:spacing w:line="276" w:lineRule="auto"/>
              <w:jc w:val="center"/>
              <w:rPr>
                <w:rFonts w:ascii="Arial" w:eastAsia="Arial" w:hAnsi="Arial" w:cs="Arial"/>
                <w:sz w:val="20"/>
                <w:szCs w:val="20"/>
              </w:rPr>
            </w:pPr>
            <w:r>
              <w:rPr>
                <w:rFonts w:ascii="Arial" w:eastAsia="Arial" w:hAnsi="Arial" w:cs="Arial"/>
                <w:sz w:val="20"/>
                <w:szCs w:val="20"/>
              </w:rPr>
              <w:t>MinAmbiente</w:t>
            </w:r>
          </w:p>
        </w:tc>
        <w:tc>
          <w:tcPr>
            <w:tcW w:w="1515" w:type="dxa"/>
            <w:tcBorders>
              <w:top w:val="nil"/>
              <w:left w:val="nil"/>
              <w:bottom w:val="single" w:sz="6" w:space="0" w:color="000000"/>
              <w:right w:val="single" w:sz="6" w:space="0" w:color="000000"/>
            </w:tcBorders>
            <w:tcMar>
              <w:top w:w="0" w:type="dxa"/>
              <w:left w:w="0" w:type="dxa"/>
              <w:bottom w:w="0" w:type="dxa"/>
              <w:right w:w="0" w:type="dxa"/>
            </w:tcMar>
            <w:vAlign w:val="bottom"/>
          </w:tcPr>
          <w:p w14:paraId="00000053" w14:textId="77777777" w:rsidR="009D7C1F" w:rsidRDefault="00000000">
            <w:pPr>
              <w:spacing w:line="276" w:lineRule="auto"/>
              <w:jc w:val="center"/>
              <w:rPr>
                <w:rFonts w:ascii="Arial" w:eastAsia="Arial" w:hAnsi="Arial" w:cs="Arial"/>
                <w:sz w:val="20"/>
                <w:szCs w:val="20"/>
              </w:rPr>
            </w:pPr>
            <w:r>
              <w:rPr>
                <w:rFonts w:ascii="Arial" w:eastAsia="Arial" w:hAnsi="Arial" w:cs="Arial"/>
                <w:sz w:val="20"/>
                <w:szCs w:val="20"/>
              </w:rPr>
              <w:t>23,8</w:t>
            </w:r>
          </w:p>
        </w:tc>
        <w:tc>
          <w:tcPr>
            <w:tcW w:w="2355" w:type="dxa"/>
            <w:tcBorders>
              <w:top w:val="nil"/>
              <w:left w:val="nil"/>
              <w:bottom w:val="single" w:sz="6" w:space="0" w:color="000000"/>
              <w:right w:val="single" w:sz="6" w:space="0" w:color="000000"/>
            </w:tcBorders>
            <w:tcMar>
              <w:top w:w="0" w:type="dxa"/>
              <w:left w:w="0" w:type="dxa"/>
              <w:bottom w:w="0" w:type="dxa"/>
              <w:right w:w="0" w:type="dxa"/>
            </w:tcMar>
            <w:vAlign w:val="bottom"/>
          </w:tcPr>
          <w:p w14:paraId="00000054" w14:textId="77777777" w:rsidR="009D7C1F" w:rsidRDefault="00000000">
            <w:pPr>
              <w:spacing w:line="276" w:lineRule="auto"/>
              <w:jc w:val="center"/>
              <w:rPr>
                <w:rFonts w:ascii="Arial" w:eastAsia="Arial" w:hAnsi="Arial" w:cs="Arial"/>
                <w:sz w:val="20"/>
                <w:szCs w:val="20"/>
              </w:rPr>
            </w:pPr>
            <w:r>
              <w:rPr>
                <w:rFonts w:ascii="Arial" w:eastAsia="Arial" w:hAnsi="Arial" w:cs="Arial"/>
                <w:sz w:val="20"/>
                <w:szCs w:val="20"/>
              </w:rPr>
              <w:t>100%</w:t>
            </w:r>
          </w:p>
        </w:tc>
      </w:tr>
      <w:tr w:rsidR="009D7C1F" w14:paraId="05255979" w14:textId="77777777">
        <w:tc>
          <w:tcPr>
            <w:tcW w:w="2595" w:type="dxa"/>
            <w:tcBorders>
              <w:top w:val="nil"/>
              <w:left w:val="single" w:sz="6" w:space="0" w:color="000000"/>
              <w:bottom w:val="single" w:sz="6" w:space="0" w:color="000000"/>
              <w:right w:val="single" w:sz="6" w:space="0" w:color="000000"/>
            </w:tcBorders>
            <w:tcMar>
              <w:top w:w="0" w:type="dxa"/>
              <w:left w:w="0" w:type="dxa"/>
              <w:bottom w:w="0" w:type="dxa"/>
              <w:right w:w="0" w:type="dxa"/>
            </w:tcMar>
            <w:vAlign w:val="bottom"/>
          </w:tcPr>
          <w:p w14:paraId="00000055" w14:textId="77777777" w:rsidR="009D7C1F" w:rsidRDefault="00000000">
            <w:pPr>
              <w:spacing w:line="276" w:lineRule="auto"/>
              <w:jc w:val="center"/>
              <w:rPr>
                <w:rFonts w:ascii="Arial" w:eastAsia="Arial" w:hAnsi="Arial" w:cs="Arial"/>
                <w:sz w:val="20"/>
                <w:szCs w:val="20"/>
              </w:rPr>
            </w:pPr>
            <w:r>
              <w:rPr>
                <w:rFonts w:ascii="Arial" w:eastAsia="Arial" w:hAnsi="Arial" w:cs="Arial"/>
                <w:sz w:val="20"/>
                <w:szCs w:val="20"/>
              </w:rPr>
              <w:t>Movil Fontibon</w:t>
            </w:r>
          </w:p>
        </w:tc>
        <w:tc>
          <w:tcPr>
            <w:tcW w:w="1515" w:type="dxa"/>
            <w:tcBorders>
              <w:top w:val="nil"/>
              <w:left w:val="nil"/>
              <w:bottom w:val="single" w:sz="6" w:space="0" w:color="000000"/>
              <w:right w:val="single" w:sz="6" w:space="0" w:color="000000"/>
            </w:tcBorders>
            <w:tcMar>
              <w:top w:w="0" w:type="dxa"/>
              <w:left w:w="0" w:type="dxa"/>
              <w:bottom w:w="0" w:type="dxa"/>
              <w:right w:w="0" w:type="dxa"/>
            </w:tcMar>
            <w:vAlign w:val="bottom"/>
          </w:tcPr>
          <w:p w14:paraId="00000056" w14:textId="77777777" w:rsidR="009D7C1F" w:rsidRDefault="00000000">
            <w:pPr>
              <w:spacing w:line="276" w:lineRule="auto"/>
              <w:jc w:val="center"/>
              <w:rPr>
                <w:rFonts w:ascii="Arial" w:eastAsia="Arial" w:hAnsi="Arial" w:cs="Arial"/>
                <w:sz w:val="20"/>
                <w:szCs w:val="20"/>
              </w:rPr>
            </w:pPr>
            <w:r>
              <w:rPr>
                <w:rFonts w:ascii="Arial" w:eastAsia="Arial" w:hAnsi="Arial" w:cs="Arial"/>
                <w:sz w:val="20"/>
                <w:szCs w:val="20"/>
              </w:rPr>
              <w:t>51,6</w:t>
            </w:r>
          </w:p>
        </w:tc>
        <w:tc>
          <w:tcPr>
            <w:tcW w:w="2355" w:type="dxa"/>
            <w:tcBorders>
              <w:top w:val="nil"/>
              <w:left w:val="nil"/>
              <w:bottom w:val="single" w:sz="6" w:space="0" w:color="000000"/>
              <w:right w:val="single" w:sz="6" w:space="0" w:color="000000"/>
            </w:tcBorders>
            <w:tcMar>
              <w:top w:w="0" w:type="dxa"/>
              <w:left w:w="0" w:type="dxa"/>
              <w:bottom w:w="0" w:type="dxa"/>
              <w:right w:w="0" w:type="dxa"/>
            </w:tcMar>
            <w:vAlign w:val="bottom"/>
          </w:tcPr>
          <w:p w14:paraId="00000057" w14:textId="77777777" w:rsidR="009D7C1F" w:rsidRDefault="00000000">
            <w:pPr>
              <w:spacing w:line="276" w:lineRule="auto"/>
              <w:jc w:val="center"/>
              <w:rPr>
                <w:rFonts w:ascii="Arial" w:eastAsia="Arial" w:hAnsi="Arial" w:cs="Arial"/>
                <w:sz w:val="20"/>
                <w:szCs w:val="20"/>
              </w:rPr>
            </w:pPr>
            <w:r>
              <w:rPr>
                <w:rFonts w:ascii="Arial" w:eastAsia="Arial" w:hAnsi="Arial" w:cs="Arial"/>
                <w:sz w:val="20"/>
                <w:szCs w:val="20"/>
              </w:rPr>
              <w:t>99%</w:t>
            </w:r>
          </w:p>
        </w:tc>
      </w:tr>
      <w:tr w:rsidR="009D7C1F" w14:paraId="04E63095" w14:textId="77777777">
        <w:tc>
          <w:tcPr>
            <w:tcW w:w="2595" w:type="dxa"/>
            <w:tcBorders>
              <w:top w:val="nil"/>
              <w:left w:val="single" w:sz="6" w:space="0" w:color="000000"/>
              <w:bottom w:val="single" w:sz="6" w:space="0" w:color="000000"/>
              <w:right w:val="single" w:sz="6" w:space="0" w:color="000000"/>
            </w:tcBorders>
            <w:tcMar>
              <w:top w:w="0" w:type="dxa"/>
              <w:left w:w="0" w:type="dxa"/>
              <w:bottom w:w="0" w:type="dxa"/>
              <w:right w:w="0" w:type="dxa"/>
            </w:tcMar>
            <w:vAlign w:val="bottom"/>
          </w:tcPr>
          <w:p w14:paraId="00000058" w14:textId="77777777" w:rsidR="009D7C1F" w:rsidRDefault="00000000">
            <w:pPr>
              <w:spacing w:line="276" w:lineRule="auto"/>
              <w:jc w:val="center"/>
              <w:rPr>
                <w:rFonts w:ascii="Arial" w:eastAsia="Arial" w:hAnsi="Arial" w:cs="Arial"/>
                <w:sz w:val="20"/>
                <w:szCs w:val="20"/>
              </w:rPr>
            </w:pPr>
            <w:r>
              <w:rPr>
                <w:rFonts w:ascii="Arial" w:eastAsia="Arial" w:hAnsi="Arial" w:cs="Arial"/>
                <w:sz w:val="20"/>
                <w:szCs w:val="20"/>
              </w:rPr>
              <w:t>Movil 7ma</w:t>
            </w:r>
          </w:p>
        </w:tc>
        <w:tc>
          <w:tcPr>
            <w:tcW w:w="1515" w:type="dxa"/>
            <w:tcBorders>
              <w:top w:val="nil"/>
              <w:left w:val="nil"/>
              <w:bottom w:val="single" w:sz="6" w:space="0" w:color="000000"/>
              <w:right w:val="single" w:sz="6" w:space="0" w:color="000000"/>
            </w:tcBorders>
            <w:tcMar>
              <w:top w:w="0" w:type="dxa"/>
              <w:left w:w="0" w:type="dxa"/>
              <w:bottom w:w="0" w:type="dxa"/>
              <w:right w:w="0" w:type="dxa"/>
            </w:tcMar>
            <w:vAlign w:val="bottom"/>
          </w:tcPr>
          <w:p w14:paraId="00000059" w14:textId="77777777" w:rsidR="009D7C1F" w:rsidRDefault="00000000">
            <w:pPr>
              <w:spacing w:line="276" w:lineRule="auto"/>
              <w:jc w:val="center"/>
              <w:rPr>
                <w:rFonts w:ascii="Arial" w:eastAsia="Arial" w:hAnsi="Arial" w:cs="Arial"/>
                <w:sz w:val="20"/>
                <w:szCs w:val="20"/>
              </w:rPr>
            </w:pPr>
            <w:r>
              <w:rPr>
                <w:rFonts w:ascii="Arial" w:eastAsia="Arial" w:hAnsi="Arial" w:cs="Arial"/>
                <w:sz w:val="20"/>
                <w:szCs w:val="20"/>
              </w:rPr>
              <w:t>29,9</w:t>
            </w:r>
          </w:p>
        </w:tc>
        <w:tc>
          <w:tcPr>
            <w:tcW w:w="2355" w:type="dxa"/>
            <w:tcBorders>
              <w:top w:val="nil"/>
              <w:left w:val="nil"/>
              <w:bottom w:val="single" w:sz="6" w:space="0" w:color="000000"/>
              <w:right w:val="single" w:sz="6" w:space="0" w:color="000000"/>
            </w:tcBorders>
            <w:tcMar>
              <w:top w:w="0" w:type="dxa"/>
              <w:left w:w="0" w:type="dxa"/>
              <w:bottom w:w="0" w:type="dxa"/>
              <w:right w:w="0" w:type="dxa"/>
            </w:tcMar>
            <w:vAlign w:val="bottom"/>
          </w:tcPr>
          <w:p w14:paraId="0000005A" w14:textId="77777777" w:rsidR="009D7C1F" w:rsidRDefault="00000000">
            <w:pPr>
              <w:spacing w:line="276" w:lineRule="auto"/>
              <w:jc w:val="center"/>
              <w:rPr>
                <w:rFonts w:ascii="Arial" w:eastAsia="Arial" w:hAnsi="Arial" w:cs="Arial"/>
                <w:sz w:val="20"/>
                <w:szCs w:val="20"/>
              </w:rPr>
            </w:pPr>
            <w:r>
              <w:rPr>
                <w:rFonts w:ascii="Arial" w:eastAsia="Arial" w:hAnsi="Arial" w:cs="Arial"/>
                <w:sz w:val="20"/>
                <w:szCs w:val="20"/>
              </w:rPr>
              <w:t>99%</w:t>
            </w:r>
          </w:p>
        </w:tc>
      </w:tr>
      <w:tr w:rsidR="009D7C1F" w14:paraId="0DE26B65" w14:textId="77777777">
        <w:tc>
          <w:tcPr>
            <w:tcW w:w="2595" w:type="dxa"/>
            <w:tcBorders>
              <w:top w:val="nil"/>
              <w:left w:val="single" w:sz="6" w:space="0" w:color="000000"/>
              <w:bottom w:val="single" w:sz="6" w:space="0" w:color="000000"/>
              <w:right w:val="single" w:sz="6" w:space="0" w:color="000000"/>
            </w:tcBorders>
            <w:tcMar>
              <w:top w:w="0" w:type="dxa"/>
              <w:left w:w="0" w:type="dxa"/>
              <w:bottom w:w="0" w:type="dxa"/>
              <w:right w:w="0" w:type="dxa"/>
            </w:tcMar>
            <w:vAlign w:val="bottom"/>
          </w:tcPr>
          <w:p w14:paraId="0000005B" w14:textId="77777777" w:rsidR="009D7C1F" w:rsidRDefault="00000000">
            <w:pPr>
              <w:spacing w:line="276" w:lineRule="auto"/>
              <w:jc w:val="center"/>
              <w:rPr>
                <w:rFonts w:ascii="Arial" w:eastAsia="Arial" w:hAnsi="Arial" w:cs="Arial"/>
                <w:sz w:val="20"/>
                <w:szCs w:val="20"/>
              </w:rPr>
            </w:pPr>
            <w:r>
              <w:rPr>
                <w:rFonts w:ascii="Arial" w:eastAsia="Arial" w:hAnsi="Arial" w:cs="Arial"/>
                <w:sz w:val="20"/>
                <w:szCs w:val="20"/>
              </w:rPr>
              <w:t>Puente Aranda</w:t>
            </w:r>
          </w:p>
        </w:tc>
        <w:tc>
          <w:tcPr>
            <w:tcW w:w="1515" w:type="dxa"/>
            <w:tcBorders>
              <w:top w:val="nil"/>
              <w:left w:val="nil"/>
              <w:bottom w:val="single" w:sz="6" w:space="0" w:color="000000"/>
              <w:right w:val="single" w:sz="6" w:space="0" w:color="000000"/>
            </w:tcBorders>
            <w:tcMar>
              <w:top w:w="0" w:type="dxa"/>
              <w:left w:w="0" w:type="dxa"/>
              <w:bottom w:w="0" w:type="dxa"/>
              <w:right w:w="0" w:type="dxa"/>
            </w:tcMar>
            <w:vAlign w:val="bottom"/>
          </w:tcPr>
          <w:p w14:paraId="0000005C" w14:textId="77777777" w:rsidR="009D7C1F" w:rsidRDefault="00000000">
            <w:pPr>
              <w:spacing w:line="276" w:lineRule="auto"/>
              <w:jc w:val="center"/>
              <w:rPr>
                <w:rFonts w:ascii="Arial" w:eastAsia="Arial" w:hAnsi="Arial" w:cs="Arial"/>
                <w:sz w:val="20"/>
                <w:szCs w:val="20"/>
              </w:rPr>
            </w:pPr>
            <w:r>
              <w:rPr>
                <w:rFonts w:ascii="Arial" w:eastAsia="Arial" w:hAnsi="Arial" w:cs="Arial"/>
                <w:sz w:val="20"/>
                <w:szCs w:val="20"/>
              </w:rPr>
              <w:t>28,1</w:t>
            </w:r>
          </w:p>
        </w:tc>
        <w:tc>
          <w:tcPr>
            <w:tcW w:w="2355" w:type="dxa"/>
            <w:tcBorders>
              <w:top w:val="nil"/>
              <w:left w:val="nil"/>
              <w:bottom w:val="single" w:sz="6" w:space="0" w:color="000000"/>
              <w:right w:val="single" w:sz="6" w:space="0" w:color="000000"/>
            </w:tcBorders>
            <w:tcMar>
              <w:top w:w="0" w:type="dxa"/>
              <w:left w:w="0" w:type="dxa"/>
              <w:bottom w:w="0" w:type="dxa"/>
              <w:right w:w="0" w:type="dxa"/>
            </w:tcMar>
            <w:vAlign w:val="bottom"/>
          </w:tcPr>
          <w:p w14:paraId="0000005D" w14:textId="77777777" w:rsidR="009D7C1F" w:rsidRDefault="00000000">
            <w:pPr>
              <w:spacing w:line="276" w:lineRule="auto"/>
              <w:jc w:val="center"/>
              <w:rPr>
                <w:rFonts w:ascii="Arial" w:eastAsia="Arial" w:hAnsi="Arial" w:cs="Arial"/>
                <w:sz w:val="20"/>
                <w:szCs w:val="20"/>
              </w:rPr>
            </w:pPr>
            <w:r>
              <w:rPr>
                <w:rFonts w:ascii="Arial" w:eastAsia="Arial" w:hAnsi="Arial" w:cs="Arial"/>
                <w:sz w:val="20"/>
                <w:szCs w:val="20"/>
              </w:rPr>
              <w:t>97%</w:t>
            </w:r>
          </w:p>
        </w:tc>
      </w:tr>
      <w:tr w:rsidR="009D7C1F" w14:paraId="423EBC10" w14:textId="77777777">
        <w:tc>
          <w:tcPr>
            <w:tcW w:w="2595" w:type="dxa"/>
            <w:tcBorders>
              <w:top w:val="nil"/>
              <w:left w:val="single" w:sz="6" w:space="0" w:color="000000"/>
              <w:bottom w:val="single" w:sz="6" w:space="0" w:color="000000"/>
              <w:right w:val="single" w:sz="6" w:space="0" w:color="000000"/>
            </w:tcBorders>
            <w:tcMar>
              <w:top w:w="0" w:type="dxa"/>
              <w:left w:w="0" w:type="dxa"/>
              <w:bottom w:w="0" w:type="dxa"/>
              <w:right w:w="0" w:type="dxa"/>
            </w:tcMar>
            <w:vAlign w:val="bottom"/>
          </w:tcPr>
          <w:p w14:paraId="0000005E" w14:textId="77777777" w:rsidR="009D7C1F" w:rsidRDefault="00000000">
            <w:pPr>
              <w:spacing w:line="276" w:lineRule="auto"/>
              <w:jc w:val="center"/>
              <w:rPr>
                <w:rFonts w:ascii="Arial" w:eastAsia="Arial" w:hAnsi="Arial" w:cs="Arial"/>
                <w:sz w:val="20"/>
                <w:szCs w:val="20"/>
              </w:rPr>
            </w:pPr>
            <w:r>
              <w:rPr>
                <w:rFonts w:ascii="Arial" w:eastAsia="Arial" w:hAnsi="Arial" w:cs="Arial"/>
                <w:sz w:val="20"/>
                <w:szCs w:val="20"/>
              </w:rPr>
              <w:t>San Cristobal</w:t>
            </w:r>
          </w:p>
        </w:tc>
        <w:tc>
          <w:tcPr>
            <w:tcW w:w="1515" w:type="dxa"/>
            <w:tcBorders>
              <w:top w:val="nil"/>
              <w:left w:val="nil"/>
              <w:bottom w:val="single" w:sz="6" w:space="0" w:color="000000"/>
              <w:right w:val="single" w:sz="6" w:space="0" w:color="000000"/>
            </w:tcBorders>
            <w:tcMar>
              <w:top w:w="0" w:type="dxa"/>
              <w:left w:w="0" w:type="dxa"/>
              <w:bottom w:w="0" w:type="dxa"/>
              <w:right w:w="0" w:type="dxa"/>
            </w:tcMar>
            <w:vAlign w:val="bottom"/>
          </w:tcPr>
          <w:p w14:paraId="0000005F" w14:textId="77777777" w:rsidR="009D7C1F" w:rsidRDefault="00000000">
            <w:pPr>
              <w:spacing w:line="276" w:lineRule="auto"/>
              <w:jc w:val="center"/>
              <w:rPr>
                <w:rFonts w:ascii="Arial" w:eastAsia="Arial" w:hAnsi="Arial" w:cs="Arial"/>
                <w:sz w:val="20"/>
                <w:szCs w:val="20"/>
              </w:rPr>
            </w:pPr>
            <w:r>
              <w:rPr>
                <w:rFonts w:ascii="Arial" w:eastAsia="Arial" w:hAnsi="Arial" w:cs="Arial"/>
                <w:sz w:val="20"/>
                <w:szCs w:val="20"/>
              </w:rPr>
              <w:t>21,6</w:t>
            </w:r>
          </w:p>
        </w:tc>
        <w:tc>
          <w:tcPr>
            <w:tcW w:w="2355" w:type="dxa"/>
            <w:tcBorders>
              <w:top w:val="nil"/>
              <w:left w:val="nil"/>
              <w:bottom w:val="single" w:sz="6" w:space="0" w:color="000000"/>
              <w:right w:val="single" w:sz="6" w:space="0" w:color="000000"/>
            </w:tcBorders>
            <w:tcMar>
              <w:top w:w="0" w:type="dxa"/>
              <w:left w:w="0" w:type="dxa"/>
              <w:bottom w:w="0" w:type="dxa"/>
              <w:right w:w="0" w:type="dxa"/>
            </w:tcMar>
            <w:vAlign w:val="bottom"/>
          </w:tcPr>
          <w:p w14:paraId="00000060" w14:textId="77777777" w:rsidR="009D7C1F" w:rsidRDefault="00000000">
            <w:pPr>
              <w:spacing w:line="276" w:lineRule="auto"/>
              <w:jc w:val="center"/>
              <w:rPr>
                <w:rFonts w:ascii="Arial" w:eastAsia="Arial" w:hAnsi="Arial" w:cs="Arial"/>
                <w:sz w:val="20"/>
                <w:szCs w:val="20"/>
              </w:rPr>
            </w:pPr>
            <w:r>
              <w:rPr>
                <w:rFonts w:ascii="Arial" w:eastAsia="Arial" w:hAnsi="Arial" w:cs="Arial"/>
                <w:sz w:val="20"/>
                <w:szCs w:val="20"/>
              </w:rPr>
              <w:t>93%</w:t>
            </w:r>
          </w:p>
        </w:tc>
      </w:tr>
      <w:tr w:rsidR="009D7C1F" w14:paraId="7BC17864" w14:textId="77777777">
        <w:tc>
          <w:tcPr>
            <w:tcW w:w="2595" w:type="dxa"/>
            <w:tcBorders>
              <w:top w:val="nil"/>
              <w:left w:val="single" w:sz="6" w:space="0" w:color="000000"/>
              <w:bottom w:val="single" w:sz="6" w:space="0" w:color="000000"/>
              <w:right w:val="single" w:sz="6" w:space="0" w:color="000000"/>
            </w:tcBorders>
            <w:tcMar>
              <w:top w:w="0" w:type="dxa"/>
              <w:left w:w="0" w:type="dxa"/>
              <w:bottom w:w="0" w:type="dxa"/>
              <w:right w:w="0" w:type="dxa"/>
            </w:tcMar>
            <w:vAlign w:val="bottom"/>
          </w:tcPr>
          <w:p w14:paraId="00000061" w14:textId="77777777" w:rsidR="009D7C1F" w:rsidRDefault="00000000">
            <w:pPr>
              <w:spacing w:line="276" w:lineRule="auto"/>
              <w:jc w:val="center"/>
              <w:rPr>
                <w:rFonts w:ascii="Arial" w:eastAsia="Arial" w:hAnsi="Arial" w:cs="Arial"/>
                <w:sz w:val="20"/>
                <w:szCs w:val="20"/>
              </w:rPr>
            </w:pPr>
            <w:r>
              <w:rPr>
                <w:rFonts w:ascii="Arial" w:eastAsia="Arial" w:hAnsi="Arial" w:cs="Arial"/>
                <w:sz w:val="20"/>
                <w:szCs w:val="20"/>
              </w:rPr>
              <w:t>Suba</w:t>
            </w:r>
          </w:p>
        </w:tc>
        <w:tc>
          <w:tcPr>
            <w:tcW w:w="1515" w:type="dxa"/>
            <w:tcBorders>
              <w:top w:val="nil"/>
              <w:left w:val="nil"/>
              <w:bottom w:val="single" w:sz="6" w:space="0" w:color="000000"/>
              <w:right w:val="single" w:sz="6" w:space="0" w:color="000000"/>
            </w:tcBorders>
            <w:tcMar>
              <w:top w:w="0" w:type="dxa"/>
              <w:left w:w="0" w:type="dxa"/>
              <w:bottom w:w="0" w:type="dxa"/>
              <w:right w:w="0" w:type="dxa"/>
            </w:tcMar>
            <w:vAlign w:val="bottom"/>
          </w:tcPr>
          <w:p w14:paraId="00000062" w14:textId="77777777" w:rsidR="009D7C1F" w:rsidRDefault="00000000">
            <w:pPr>
              <w:spacing w:line="276" w:lineRule="auto"/>
              <w:jc w:val="center"/>
              <w:rPr>
                <w:rFonts w:ascii="Arial" w:eastAsia="Arial" w:hAnsi="Arial" w:cs="Arial"/>
                <w:sz w:val="20"/>
                <w:szCs w:val="20"/>
              </w:rPr>
            </w:pPr>
            <w:r>
              <w:rPr>
                <w:rFonts w:ascii="Arial" w:eastAsia="Arial" w:hAnsi="Arial" w:cs="Arial"/>
                <w:sz w:val="20"/>
                <w:szCs w:val="20"/>
              </w:rPr>
              <w:t>29,9</w:t>
            </w:r>
          </w:p>
        </w:tc>
        <w:tc>
          <w:tcPr>
            <w:tcW w:w="2355" w:type="dxa"/>
            <w:tcBorders>
              <w:top w:val="nil"/>
              <w:left w:val="nil"/>
              <w:bottom w:val="single" w:sz="6" w:space="0" w:color="000000"/>
              <w:right w:val="single" w:sz="6" w:space="0" w:color="000000"/>
            </w:tcBorders>
            <w:tcMar>
              <w:top w:w="0" w:type="dxa"/>
              <w:left w:w="0" w:type="dxa"/>
              <w:bottom w:w="0" w:type="dxa"/>
              <w:right w:w="0" w:type="dxa"/>
            </w:tcMar>
            <w:vAlign w:val="bottom"/>
          </w:tcPr>
          <w:p w14:paraId="00000063" w14:textId="77777777" w:rsidR="009D7C1F" w:rsidRDefault="00000000">
            <w:pPr>
              <w:spacing w:line="276" w:lineRule="auto"/>
              <w:jc w:val="center"/>
              <w:rPr>
                <w:rFonts w:ascii="Arial" w:eastAsia="Arial" w:hAnsi="Arial" w:cs="Arial"/>
                <w:sz w:val="20"/>
                <w:szCs w:val="20"/>
              </w:rPr>
            </w:pPr>
            <w:r>
              <w:rPr>
                <w:rFonts w:ascii="Arial" w:eastAsia="Arial" w:hAnsi="Arial" w:cs="Arial"/>
                <w:sz w:val="20"/>
                <w:szCs w:val="20"/>
              </w:rPr>
              <w:t>96%</w:t>
            </w:r>
          </w:p>
        </w:tc>
      </w:tr>
      <w:tr w:rsidR="009D7C1F" w14:paraId="48349894" w14:textId="77777777">
        <w:tc>
          <w:tcPr>
            <w:tcW w:w="2595" w:type="dxa"/>
            <w:tcBorders>
              <w:top w:val="nil"/>
              <w:left w:val="single" w:sz="6" w:space="0" w:color="000000"/>
              <w:bottom w:val="single" w:sz="6" w:space="0" w:color="000000"/>
              <w:right w:val="single" w:sz="6" w:space="0" w:color="000000"/>
            </w:tcBorders>
            <w:tcMar>
              <w:top w:w="0" w:type="dxa"/>
              <w:left w:w="0" w:type="dxa"/>
              <w:bottom w:w="0" w:type="dxa"/>
              <w:right w:w="0" w:type="dxa"/>
            </w:tcMar>
            <w:vAlign w:val="bottom"/>
          </w:tcPr>
          <w:p w14:paraId="00000064" w14:textId="77777777" w:rsidR="009D7C1F" w:rsidRDefault="00000000">
            <w:pPr>
              <w:spacing w:line="276" w:lineRule="auto"/>
              <w:jc w:val="center"/>
              <w:rPr>
                <w:rFonts w:ascii="Arial" w:eastAsia="Arial" w:hAnsi="Arial" w:cs="Arial"/>
                <w:sz w:val="20"/>
                <w:szCs w:val="20"/>
              </w:rPr>
            </w:pPr>
            <w:r>
              <w:rPr>
                <w:rFonts w:ascii="Arial" w:eastAsia="Arial" w:hAnsi="Arial" w:cs="Arial"/>
                <w:sz w:val="20"/>
                <w:szCs w:val="20"/>
              </w:rPr>
              <w:t>Tunal</w:t>
            </w:r>
          </w:p>
        </w:tc>
        <w:tc>
          <w:tcPr>
            <w:tcW w:w="1515" w:type="dxa"/>
            <w:tcBorders>
              <w:top w:val="nil"/>
              <w:left w:val="nil"/>
              <w:bottom w:val="single" w:sz="6" w:space="0" w:color="000000"/>
              <w:right w:val="single" w:sz="6" w:space="0" w:color="000000"/>
            </w:tcBorders>
            <w:tcMar>
              <w:top w:w="0" w:type="dxa"/>
              <w:left w:w="0" w:type="dxa"/>
              <w:bottom w:w="0" w:type="dxa"/>
              <w:right w:w="0" w:type="dxa"/>
            </w:tcMar>
            <w:vAlign w:val="bottom"/>
          </w:tcPr>
          <w:p w14:paraId="00000065" w14:textId="77777777" w:rsidR="009D7C1F" w:rsidRDefault="00000000">
            <w:pPr>
              <w:spacing w:line="276" w:lineRule="auto"/>
              <w:jc w:val="center"/>
              <w:rPr>
                <w:rFonts w:ascii="Arial" w:eastAsia="Arial" w:hAnsi="Arial" w:cs="Arial"/>
                <w:sz w:val="20"/>
                <w:szCs w:val="20"/>
              </w:rPr>
            </w:pPr>
            <w:r>
              <w:rPr>
                <w:rFonts w:ascii="Arial" w:eastAsia="Arial" w:hAnsi="Arial" w:cs="Arial"/>
                <w:sz w:val="20"/>
                <w:szCs w:val="20"/>
              </w:rPr>
              <w:t>32,2</w:t>
            </w:r>
          </w:p>
        </w:tc>
        <w:tc>
          <w:tcPr>
            <w:tcW w:w="2355" w:type="dxa"/>
            <w:tcBorders>
              <w:top w:val="nil"/>
              <w:left w:val="nil"/>
              <w:bottom w:val="single" w:sz="6" w:space="0" w:color="000000"/>
              <w:right w:val="single" w:sz="6" w:space="0" w:color="000000"/>
            </w:tcBorders>
            <w:tcMar>
              <w:top w:w="0" w:type="dxa"/>
              <w:left w:w="0" w:type="dxa"/>
              <w:bottom w:w="0" w:type="dxa"/>
              <w:right w:w="0" w:type="dxa"/>
            </w:tcMar>
            <w:vAlign w:val="bottom"/>
          </w:tcPr>
          <w:p w14:paraId="00000066" w14:textId="77777777" w:rsidR="009D7C1F" w:rsidRDefault="00000000">
            <w:pPr>
              <w:spacing w:line="276" w:lineRule="auto"/>
              <w:jc w:val="center"/>
              <w:rPr>
                <w:rFonts w:ascii="Arial" w:eastAsia="Arial" w:hAnsi="Arial" w:cs="Arial"/>
                <w:sz w:val="20"/>
                <w:szCs w:val="20"/>
              </w:rPr>
            </w:pPr>
            <w:r>
              <w:rPr>
                <w:rFonts w:ascii="Arial" w:eastAsia="Arial" w:hAnsi="Arial" w:cs="Arial"/>
                <w:sz w:val="20"/>
                <w:szCs w:val="20"/>
              </w:rPr>
              <w:t>97%</w:t>
            </w:r>
          </w:p>
        </w:tc>
      </w:tr>
      <w:tr w:rsidR="009D7C1F" w14:paraId="24CE302C" w14:textId="77777777">
        <w:tc>
          <w:tcPr>
            <w:tcW w:w="2595" w:type="dxa"/>
            <w:tcBorders>
              <w:top w:val="nil"/>
              <w:left w:val="single" w:sz="6" w:space="0" w:color="000000"/>
              <w:bottom w:val="single" w:sz="6" w:space="0" w:color="000000"/>
              <w:right w:val="single" w:sz="6" w:space="0" w:color="000000"/>
            </w:tcBorders>
            <w:tcMar>
              <w:top w:w="0" w:type="dxa"/>
              <w:left w:w="0" w:type="dxa"/>
              <w:bottom w:w="0" w:type="dxa"/>
              <w:right w:w="0" w:type="dxa"/>
            </w:tcMar>
            <w:vAlign w:val="bottom"/>
          </w:tcPr>
          <w:p w14:paraId="00000067" w14:textId="77777777" w:rsidR="009D7C1F" w:rsidRDefault="00000000">
            <w:pPr>
              <w:spacing w:line="276" w:lineRule="auto"/>
              <w:jc w:val="center"/>
              <w:rPr>
                <w:rFonts w:ascii="Arial" w:eastAsia="Arial" w:hAnsi="Arial" w:cs="Arial"/>
                <w:sz w:val="20"/>
                <w:szCs w:val="20"/>
              </w:rPr>
            </w:pPr>
            <w:r>
              <w:rPr>
                <w:rFonts w:ascii="Arial" w:eastAsia="Arial" w:hAnsi="Arial" w:cs="Arial"/>
                <w:sz w:val="20"/>
                <w:szCs w:val="20"/>
              </w:rPr>
              <w:t>Usaquen</w:t>
            </w:r>
          </w:p>
        </w:tc>
        <w:tc>
          <w:tcPr>
            <w:tcW w:w="1515" w:type="dxa"/>
            <w:tcBorders>
              <w:top w:val="nil"/>
              <w:left w:val="nil"/>
              <w:bottom w:val="single" w:sz="6" w:space="0" w:color="000000"/>
              <w:right w:val="single" w:sz="6" w:space="0" w:color="000000"/>
            </w:tcBorders>
            <w:tcMar>
              <w:top w:w="0" w:type="dxa"/>
              <w:left w:w="0" w:type="dxa"/>
              <w:bottom w:w="0" w:type="dxa"/>
              <w:right w:w="0" w:type="dxa"/>
            </w:tcMar>
            <w:vAlign w:val="bottom"/>
          </w:tcPr>
          <w:p w14:paraId="00000068" w14:textId="77777777" w:rsidR="009D7C1F" w:rsidRDefault="00000000">
            <w:pPr>
              <w:spacing w:line="276" w:lineRule="auto"/>
              <w:jc w:val="center"/>
              <w:rPr>
                <w:rFonts w:ascii="Arial" w:eastAsia="Arial" w:hAnsi="Arial" w:cs="Arial"/>
                <w:sz w:val="20"/>
                <w:szCs w:val="20"/>
              </w:rPr>
            </w:pPr>
            <w:r>
              <w:rPr>
                <w:rFonts w:ascii="Arial" w:eastAsia="Arial" w:hAnsi="Arial" w:cs="Arial"/>
                <w:sz w:val="20"/>
                <w:szCs w:val="20"/>
              </w:rPr>
              <w:t>19,9</w:t>
            </w:r>
          </w:p>
        </w:tc>
        <w:tc>
          <w:tcPr>
            <w:tcW w:w="2355" w:type="dxa"/>
            <w:tcBorders>
              <w:top w:val="nil"/>
              <w:left w:val="nil"/>
              <w:bottom w:val="single" w:sz="6" w:space="0" w:color="000000"/>
              <w:right w:val="single" w:sz="6" w:space="0" w:color="000000"/>
            </w:tcBorders>
            <w:tcMar>
              <w:top w:w="0" w:type="dxa"/>
              <w:left w:w="0" w:type="dxa"/>
              <w:bottom w:w="0" w:type="dxa"/>
              <w:right w:w="0" w:type="dxa"/>
            </w:tcMar>
            <w:vAlign w:val="bottom"/>
          </w:tcPr>
          <w:p w14:paraId="00000069" w14:textId="77777777" w:rsidR="009D7C1F" w:rsidRDefault="00000000">
            <w:pPr>
              <w:spacing w:line="276" w:lineRule="auto"/>
              <w:jc w:val="center"/>
              <w:rPr>
                <w:rFonts w:ascii="Arial" w:eastAsia="Arial" w:hAnsi="Arial" w:cs="Arial"/>
                <w:sz w:val="20"/>
                <w:szCs w:val="20"/>
              </w:rPr>
            </w:pPr>
            <w:r>
              <w:rPr>
                <w:rFonts w:ascii="Arial" w:eastAsia="Arial" w:hAnsi="Arial" w:cs="Arial"/>
                <w:sz w:val="20"/>
                <w:szCs w:val="20"/>
              </w:rPr>
              <w:t>92%</w:t>
            </w:r>
          </w:p>
        </w:tc>
      </w:tr>
      <w:tr w:rsidR="009D7C1F" w14:paraId="151AC9A0" w14:textId="77777777">
        <w:tc>
          <w:tcPr>
            <w:tcW w:w="2595" w:type="dxa"/>
            <w:tcBorders>
              <w:top w:val="nil"/>
              <w:left w:val="single" w:sz="6" w:space="0" w:color="000000"/>
              <w:bottom w:val="single" w:sz="6" w:space="0" w:color="000000"/>
              <w:right w:val="single" w:sz="6" w:space="0" w:color="000000"/>
            </w:tcBorders>
            <w:tcMar>
              <w:top w:w="0" w:type="dxa"/>
              <w:left w:w="0" w:type="dxa"/>
              <w:bottom w:w="0" w:type="dxa"/>
              <w:right w:w="0" w:type="dxa"/>
            </w:tcMar>
            <w:vAlign w:val="bottom"/>
          </w:tcPr>
          <w:p w14:paraId="0000006A" w14:textId="77777777" w:rsidR="009D7C1F" w:rsidRDefault="00000000">
            <w:pPr>
              <w:spacing w:line="276" w:lineRule="auto"/>
              <w:jc w:val="center"/>
              <w:rPr>
                <w:rFonts w:ascii="Arial" w:eastAsia="Arial" w:hAnsi="Arial" w:cs="Arial"/>
                <w:sz w:val="20"/>
                <w:szCs w:val="20"/>
              </w:rPr>
            </w:pPr>
            <w:r>
              <w:rPr>
                <w:rFonts w:ascii="Arial" w:eastAsia="Arial" w:hAnsi="Arial" w:cs="Arial"/>
                <w:sz w:val="20"/>
                <w:szCs w:val="20"/>
              </w:rPr>
              <w:t>Usme</w:t>
            </w:r>
          </w:p>
        </w:tc>
        <w:tc>
          <w:tcPr>
            <w:tcW w:w="1515" w:type="dxa"/>
            <w:tcBorders>
              <w:top w:val="nil"/>
              <w:left w:val="nil"/>
              <w:bottom w:val="single" w:sz="6" w:space="0" w:color="000000"/>
              <w:right w:val="single" w:sz="6" w:space="0" w:color="000000"/>
            </w:tcBorders>
            <w:tcMar>
              <w:top w:w="0" w:type="dxa"/>
              <w:left w:w="0" w:type="dxa"/>
              <w:bottom w:w="0" w:type="dxa"/>
              <w:right w:w="0" w:type="dxa"/>
            </w:tcMar>
            <w:vAlign w:val="bottom"/>
          </w:tcPr>
          <w:p w14:paraId="0000006B" w14:textId="77777777" w:rsidR="009D7C1F" w:rsidRDefault="00000000">
            <w:pPr>
              <w:spacing w:line="276" w:lineRule="auto"/>
              <w:jc w:val="center"/>
              <w:rPr>
                <w:rFonts w:ascii="Arial" w:eastAsia="Arial" w:hAnsi="Arial" w:cs="Arial"/>
                <w:sz w:val="20"/>
                <w:szCs w:val="20"/>
              </w:rPr>
            </w:pPr>
            <w:r>
              <w:rPr>
                <w:rFonts w:ascii="Arial" w:eastAsia="Arial" w:hAnsi="Arial" w:cs="Arial"/>
                <w:sz w:val="20"/>
                <w:szCs w:val="20"/>
              </w:rPr>
              <w:t>30,5</w:t>
            </w:r>
          </w:p>
        </w:tc>
        <w:tc>
          <w:tcPr>
            <w:tcW w:w="2355" w:type="dxa"/>
            <w:tcBorders>
              <w:top w:val="nil"/>
              <w:left w:val="nil"/>
              <w:bottom w:val="single" w:sz="6" w:space="0" w:color="000000"/>
              <w:right w:val="single" w:sz="6" w:space="0" w:color="000000"/>
            </w:tcBorders>
            <w:tcMar>
              <w:top w:w="0" w:type="dxa"/>
              <w:left w:w="0" w:type="dxa"/>
              <w:bottom w:w="0" w:type="dxa"/>
              <w:right w:w="0" w:type="dxa"/>
            </w:tcMar>
            <w:vAlign w:val="bottom"/>
          </w:tcPr>
          <w:p w14:paraId="0000006C" w14:textId="77777777" w:rsidR="009D7C1F" w:rsidRDefault="00000000">
            <w:pPr>
              <w:spacing w:line="276" w:lineRule="auto"/>
              <w:jc w:val="center"/>
              <w:rPr>
                <w:rFonts w:ascii="Arial" w:eastAsia="Arial" w:hAnsi="Arial" w:cs="Arial"/>
                <w:sz w:val="20"/>
                <w:szCs w:val="20"/>
              </w:rPr>
            </w:pPr>
            <w:r>
              <w:rPr>
                <w:rFonts w:ascii="Arial" w:eastAsia="Arial" w:hAnsi="Arial" w:cs="Arial"/>
                <w:sz w:val="20"/>
                <w:szCs w:val="20"/>
              </w:rPr>
              <w:t>99%</w:t>
            </w:r>
          </w:p>
        </w:tc>
      </w:tr>
    </w:tbl>
    <w:p w14:paraId="0000006D" w14:textId="77777777" w:rsidR="009D7C1F" w:rsidRDefault="00000000">
      <w:pPr>
        <w:jc w:val="both"/>
        <w:rPr>
          <w:rFonts w:ascii="Arial" w:eastAsia="Arial" w:hAnsi="Arial" w:cs="Arial"/>
          <w:sz w:val="20"/>
          <w:szCs w:val="20"/>
        </w:rPr>
      </w:pPr>
      <w:r>
        <w:rPr>
          <w:rFonts w:ascii="Arial" w:eastAsia="Arial" w:hAnsi="Arial" w:cs="Arial"/>
          <w:sz w:val="20"/>
          <w:szCs w:val="20"/>
        </w:rPr>
        <w:t>(*) Estación Colina no alcanzó % de datos válidos, debido a corte de energía de aproximadamente 2 meses.</w:t>
      </w:r>
    </w:p>
    <w:p w14:paraId="0000006E" w14:textId="77777777" w:rsidR="009D7C1F" w:rsidRDefault="009D7C1F">
      <w:pPr>
        <w:jc w:val="both"/>
        <w:rPr>
          <w:rFonts w:ascii="Arial" w:eastAsia="Arial" w:hAnsi="Arial" w:cs="Arial"/>
        </w:rPr>
      </w:pPr>
    </w:p>
    <w:p w14:paraId="0000006F" w14:textId="77777777" w:rsidR="009D7C1F" w:rsidRDefault="00000000">
      <w:pPr>
        <w:numPr>
          <w:ilvl w:val="0"/>
          <w:numId w:val="7"/>
        </w:numPr>
        <w:jc w:val="both"/>
        <w:rPr>
          <w:rFonts w:ascii="Arial" w:eastAsia="Arial" w:hAnsi="Arial" w:cs="Arial"/>
        </w:rPr>
      </w:pPr>
      <w:r>
        <w:rPr>
          <w:rFonts w:ascii="Arial" w:eastAsia="Arial" w:hAnsi="Arial" w:cs="Arial"/>
        </w:rPr>
        <w:t>Compare los valores registrados con los estándares nacionales y de la OMS, durante la vigencia del 2025.</w:t>
      </w:r>
    </w:p>
    <w:p w14:paraId="00000070" w14:textId="77777777" w:rsidR="009D7C1F" w:rsidRDefault="009D7C1F">
      <w:pPr>
        <w:ind w:left="720"/>
        <w:jc w:val="both"/>
        <w:rPr>
          <w:rFonts w:ascii="Arial" w:eastAsia="Arial" w:hAnsi="Arial" w:cs="Arial"/>
        </w:rPr>
      </w:pPr>
    </w:p>
    <w:p w14:paraId="00000071" w14:textId="77777777" w:rsidR="009D7C1F" w:rsidRDefault="00000000">
      <w:pPr>
        <w:jc w:val="both"/>
        <w:rPr>
          <w:rFonts w:ascii="Arial" w:eastAsia="Arial" w:hAnsi="Arial" w:cs="Arial"/>
          <w:i/>
          <w:iCs/>
        </w:rPr>
      </w:pPr>
      <w:r>
        <w:rPr>
          <w:rFonts w:ascii="Arial" w:eastAsia="Arial" w:hAnsi="Arial" w:cs="Arial"/>
        </w:rPr>
        <w:t>El promedio ponderado anual ciudad no es comparable con estándares nacionales o de la OMS, debido a su métrica de cálculo. Las comparaciones de estándares normativos deben realizarse por punto de monitoreo y no con promedios de varios puntos, como es el caso del promedio de ciudad o el promedio ponderado, tal como lo establece la Resolución 2254 de 2017 en el Artículo 2</w:t>
      </w:r>
      <w:r>
        <w:rPr>
          <w:rFonts w:ascii="Arial" w:eastAsia="Arial" w:hAnsi="Arial" w:cs="Arial"/>
          <w:i/>
          <w:iCs/>
        </w:rPr>
        <w:t xml:space="preserve"> </w:t>
      </w:r>
      <w:r>
        <w:rPr>
          <w:rFonts w:ascii="Arial" w:eastAsia="Arial" w:hAnsi="Arial" w:cs="Arial"/>
          <w:b/>
          <w:bCs/>
          <w:i/>
          <w:iCs/>
          <w:color w:val="333333"/>
          <w:highlight w:val="white"/>
        </w:rPr>
        <w:t>Parágrafo 2°.</w:t>
      </w:r>
      <w:r>
        <w:rPr>
          <w:rFonts w:ascii="Arial" w:eastAsia="Arial" w:hAnsi="Arial" w:cs="Arial"/>
          <w:i/>
          <w:iCs/>
          <w:color w:val="333333"/>
          <w:highlight w:val="white"/>
        </w:rPr>
        <w:t xml:space="preserve"> Para verificar el cumplimiento de los niveles máximos permisibles establecidos en la Tabla número 1, la concentración de </w:t>
      </w:r>
      <w:r>
        <w:rPr>
          <w:rFonts w:ascii="Arial" w:eastAsia="Arial" w:hAnsi="Arial" w:cs="Arial"/>
          <w:i/>
          <w:iCs/>
          <w:color w:val="333333"/>
          <w:highlight w:val="white"/>
        </w:rPr>
        <w:lastRenderedPageBreak/>
        <w:t xml:space="preserve">los contaminantes del aire </w:t>
      </w:r>
      <w:r>
        <w:rPr>
          <w:rFonts w:ascii="Arial" w:eastAsia="Arial" w:hAnsi="Arial" w:cs="Arial"/>
          <w:i/>
          <w:iCs/>
          <w:color w:val="333333"/>
          <w:highlight w:val="white"/>
          <w:u w:val="single"/>
        </w:rPr>
        <w:t>deberá evaluarse por cada punto de monitoreo</w:t>
      </w:r>
      <w:r>
        <w:rPr>
          <w:rFonts w:ascii="Arial" w:eastAsia="Arial" w:hAnsi="Arial" w:cs="Arial"/>
          <w:i/>
          <w:iCs/>
          <w:color w:val="333333"/>
          <w:highlight w:val="white"/>
        </w:rPr>
        <w:t>. El promedio de concentraciones de diferentes puntos de monitoreo no será válido para evaluar el cumplimiento de dichos niveles.</w:t>
      </w:r>
    </w:p>
    <w:p w14:paraId="00000072" w14:textId="77777777" w:rsidR="009D7C1F" w:rsidRDefault="009D7C1F">
      <w:pPr>
        <w:jc w:val="both"/>
        <w:rPr>
          <w:rFonts w:ascii="Arial" w:eastAsia="Arial" w:hAnsi="Arial" w:cs="Arial"/>
        </w:rPr>
      </w:pPr>
    </w:p>
    <w:p w14:paraId="00000073" w14:textId="77777777" w:rsidR="009D7C1F" w:rsidRDefault="00000000">
      <w:pPr>
        <w:jc w:val="both"/>
        <w:rPr>
          <w:rFonts w:ascii="Arial" w:eastAsia="Arial" w:hAnsi="Arial" w:cs="Arial"/>
        </w:rPr>
      </w:pPr>
      <w:r>
        <w:rPr>
          <w:rFonts w:ascii="Arial" w:eastAsia="Arial" w:hAnsi="Arial" w:cs="Arial"/>
        </w:rPr>
        <w:t>Conforme lo anterior, los promedios anuales por estación presentados en el punto 3, SI son comparables con el nivel máximo permisible de PM10 para el tiempo de exposición anual establecido en el Artículo 2 de la Resolución 2254 de 2017, el cual es de 50 µg/m3, así mismo, se realiza comparación con metas intermedias y el valor guía de la OMS, a continuación se presenta gráficamente esta comparación:</w:t>
      </w:r>
    </w:p>
    <w:p w14:paraId="00000074" w14:textId="77777777" w:rsidR="009D7C1F" w:rsidRDefault="009D7C1F">
      <w:pPr>
        <w:jc w:val="both"/>
        <w:rPr>
          <w:rFonts w:ascii="Arial" w:eastAsia="Arial" w:hAnsi="Arial" w:cs="Arial"/>
        </w:rPr>
      </w:pPr>
    </w:p>
    <w:p w14:paraId="00000075" w14:textId="77777777" w:rsidR="009D7C1F" w:rsidRDefault="00000000">
      <w:pPr>
        <w:jc w:val="center"/>
        <w:rPr>
          <w:rFonts w:ascii="Arial" w:eastAsia="Arial" w:hAnsi="Arial" w:cs="Arial"/>
        </w:rPr>
      </w:pPr>
      <w:r>
        <w:rPr>
          <w:rFonts w:ascii="Arial" w:eastAsia="Arial" w:hAnsi="Arial" w:cs="Arial"/>
          <w:noProof/>
        </w:rPr>
        <w:drawing>
          <wp:inline distT="114300" distB="114300" distL="114300" distR="114300" wp14:anchorId="032EEB8E" wp14:editId="3A0F5232">
            <wp:extent cx="5105083" cy="2638033"/>
            <wp:effectExtent l="0" t="0" r="0" b="0"/>
            <wp:docPr id="6"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5"/>
                    <a:srcRect/>
                    <a:stretch>
                      <a:fillRect/>
                    </a:stretch>
                  </pic:blipFill>
                  <pic:spPr>
                    <a:xfrm>
                      <a:off x="0" y="0"/>
                      <a:ext cx="5105083" cy="2638033"/>
                    </a:xfrm>
                    <a:prstGeom prst="rect">
                      <a:avLst/>
                    </a:prstGeom>
                    <a:ln/>
                  </pic:spPr>
                </pic:pic>
              </a:graphicData>
            </a:graphic>
          </wp:inline>
        </w:drawing>
      </w:r>
    </w:p>
    <w:p w14:paraId="00000076" w14:textId="77777777" w:rsidR="009D7C1F" w:rsidRDefault="009D7C1F">
      <w:pPr>
        <w:jc w:val="both"/>
        <w:rPr>
          <w:rFonts w:ascii="Arial" w:eastAsia="Arial" w:hAnsi="Arial" w:cs="Arial"/>
        </w:rPr>
      </w:pPr>
    </w:p>
    <w:p w14:paraId="00000077" w14:textId="77777777" w:rsidR="009D7C1F" w:rsidRDefault="00000000">
      <w:pPr>
        <w:jc w:val="both"/>
        <w:rPr>
          <w:rFonts w:ascii="Arial" w:eastAsia="Arial" w:hAnsi="Arial" w:cs="Arial"/>
        </w:rPr>
      </w:pPr>
      <w:r>
        <w:rPr>
          <w:rFonts w:ascii="Arial" w:eastAsia="Arial" w:hAnsi="Arial" w:cs="Arial"/>
        </w:rPr>
        <w:t xml:space="preserve">En la gráfica se observa que 17 estaciones de monitoreo cumplen con el valor máximo permisible de la Resolución 2254, entre tanto, solo Carvajal-Sevillana y Móvil Fontibón no cumplen este valor, debido a que hay emisiones cercanas de vías primarias e industrias principalmente, que inciden en la concentración de este contaminante de forma muy focalizada. </w:t>
      </w:r>
    </w:p>
    <w:p w14:paraId="00000078" w14:textId="77777777" w:rsidR="009D7C1F" w:rsidRDefault="009D7C1F">
      <w:pPr>
        <w:jc w:val="both"/>
        <w:rPr>
          <w:rFonts w:ascii="Arial" w:eastAsia="Arial" w:hAnsi="Arial" w:cs="Arial"/>
        </w:rPr>
      </w:pPr>
    </w:p>
    <w:p w14:paraId="00000079" w14:textId="77777777" w:rsidR="009D7C1F" w:rsidRDefault="00000000">
      <w:pPr>
        <w:jc w:val="both"/>
        <w:rPr>
          <w:rFonts w:ascii="Arial" w:eastAsia="Arial" w:hAnsi="Arial" w:cs="Arial"/>
          <w:i/>
          <w:iCs/>
        </w:rPr>
      </w:pPr>
      <w:r>
        <w:rPr>
          <w:rFonts w:ascii="Arial" w:eastAsia="Arial" w:hAnsi="Arial" w:cs="Arial"/>
        </w:rPr>
        <w:t xml:space="preserve">Por otro lado, es preciso indicar que Las Guías de Calidad del Aire de la OMS de 2021 (WHO Global Air Quality Guidelines, AQG 2021) tanto metas intermedias como valor guía son recomendaciones basadas en la evidencia científica sobre los niveles de concentración de contaminantes atmosféricos que deberían cumplirse para proteger la salud humana, así mismo, </w:t>
      </w:r>
      <w:r>
        <w:rPr>
          <w:rFonts w:ascii="Arial" w:eastAsia="Arial" w:hAnsi="Arial" w:cs="Arial"/>
          <w:u w:val="single"/>
        </w:rPr>
        <w:t xml:space="preserve">NO son estándares jurídicos, sino un instrumento orientador para políticas públicas, regulación y manejo del aire limpio, </w:t>
      </w:r>
      <w:r>
        <w:rPr>
          <w:rFonts w:ascii="Arial" w:eastAsia="Arial" w:hAnsi="Arial" w:cs="Arial"/>
        </w:rPr>
        <w:t>así mismo, la OMS establece que se</w:t>
      </w:r>
      <w:r>
        <w:rPr>
          <w:rFonts w:ascii="Arial" w:eastAsia="Arial" w:hAnsi="Arial" w:cs="Arial"/>
          <w:sz w:val="22"/>
          <w:szCs w:val="22"/>
          <w:highlight w:val="white"/>
        </w:rPr>
        <w:t>…</w:t>
      </w:r>
      <w:r>
        <w:rPr>
          <w:rFonts w:ascii="Arial" w:eastAsia="Arial" w:hAnsi="Arial" w:cs="Arial"/>
        </w:rPr>
        <w:t xml:space="preserve"> </w:t>
      </w:r>
      <w:r>
        <w:rPr>
          <w:rFonts w:ascii="Arial" w:eastAsia="Arial" w:hAnsi="Arial" w:cs="Arial"/>
          <w:i/>
          <w:iCs/>
        </w:rPr>
        <w:t xml:space="preserve">pueden utilizar para elaborar políticas de reducción de la contaminación que pueden cumplirse en </w:t>
      </w:r>
      <w:r>
        <w:rPr>
          <w:rFonts w:ascii="Arial" w:eastAsia="Arial" w:hAnsi="Arial" w:cs="Arial"/>
          <w:i/>
          <w:iCs/>
          <w:u w:val="single"/>
        </w:rPr>
        <w:t>plazos realistas</w:t>
      </w:r>
      <w:r>
        <w:rPr>
          <w:rFonts w:ascii="Arial" w:eastAsia="Arial" w:hAnsi="Arial" w:cs="Arial"/>
          <w:i/>
          <w:iCs/>
        </w:rPr>
        <w:t xml:space="preserve">. Así, las metas intermedias deberían considerarse </w:t>
      </w:r>
      <w:r>
        <w:rPr>
          <w:rFonts w:ascii="Arial" w:eastAsia="Arial" w:hAnsi="Arial" w:cs="Arial"/>
          <w:i/>
          <w:iCs/>
        </w:rPr>
        <w:lastRenderedPageBreak/>
        <w:t>como pasos para lograr en el futuro los niveles de las directrices y no como objetivos finales.</w:t>
      </w:r>
    </w:p>
    <w:p w14:paraId="0000007A" w14:textId="77777777" w:rsidR="009D7C1F" w:rsidRDefault="009D7C1F">
      <w:pPr>
        <w:jc w:val="both"/>
        <w:rPr>
          <w:rFonts w:ascii="Arial" w:eastAsia="Arial" w:hAnsi="Arial" w:cs="Arial"/>
        </w:rPr>
      </w:pPr>
    </w:p>
    <w:p w14:paraId="0000007B" w14:textId="77777777" w:rsidR="009D7C1F" w:rsidRDefault="00000000">
      <w:pPr>
        <w:numPr>
          <w:ilvl w:val="0"/>
          <w:numId w:val="7"/>
        </w:numPr>
        <w:jc w:val="both"/>
        <w:rPr>
          <w:rFonts w:ascii="Arial" w:eastAsia="Arial" w:hAnsi="Arial" w:cs="Arial"/>
        </w:rPr>
      </w:pPr>
      <w:r>
        <w:rPr>
          <w:rFonts w:ascii="Arial" w:eastAsia="Arial" w:hAnsi="Arial" w:cs="Arial"/>
        </w:rPr>
        <w:t>Indique el número de días con superación de los límites permitidos.</w:t>
      </w:r>
    </w:p>
    <w:p w14:paraId="0000007C" w14:textId="77777777" w:rsidR="009D7C1F" w:rsidRDefault="009D7C1F">
      <w:pPr>
        <w:jc w:val="both"/>
        <w:rPr>
          <w:rFonts w:ascii="Arial" w:eastAsia="Arial" w:hAnsi="Arial" w:cs="Arial"/>
        </w:rPr>
      </w:pPr>
    </w:p>
    <w:p w14:paraId="0000007D" w14:textId="77777777" w:rsidR="009D7C1F" w:rsidRDefault="00000000">
      <w:pPr>
        <w:jc w:val="both"/>
        <w:rPr>
          <w:rFonts w:ascii="Arial" w:eastAsia="Arial" w:hAnsi="Arial" w:cs="Arial"/>
        </w:rPr>
      </w:pPr>
      <w:r>
        <w:rPr>
          <w:rFonts w:ascii="Arial" w:eastAsia="Arial" w:hAnsi="Arial" w:cs="Arial"/>
        </w:rPr>
        <w:t>Para dar un número de días con superación de límites permitidos, se debe hacer referencia al promedio diario (24h) de PM10 como lo establece la norma, este valor se encuentra regulado en el Artículo 2 de la Resolución 2254 de 2017 y corresponde a 70 µg/m3, a continuación se presenta el número de excedencia a este valor normativo, por estación de monitoreo durante todo 2025.</w:t>
      </w:r>
    </w:p>
    <w:p w14:paraId="0000007E" w14:textId="77777777" w:rsidR="009D7C1F" w:rsidRDefault="009D7C1F">
      <w:pPr>
        <w:jc w:val="both"/>
        <w:rPr>
          <w:rFonts w:ascii="Arial" w:eastAsia="Arial" w:hAnsi="Arial" w:cs="Arial"/>
        </w:rPr>
      </w:pPr>
    </w:p>
    <w:p w14:paraId="0000007F" w14:textId="77777777" w:rsidR="009D7C1F" w:rsidRDefault="00000000">
      <w:pPr>
        <w:jc w:val="both"/>
        <w:rPr>
          <w:rFonts w:ascii="Arial" w:eastAsia="Arial" w:hAnsi="Arial" w:cs="Arial"/>
        </w:rPr>
      </w:pPr>
      <w:r>
        <w:rPr>
          <w:rFonts w:ascii="Arial" w:eastAsia="Arial" w:hAnsi="Arial" w:cs="Arial"/>
        </w:rPr>
        <w:t>Bolivia (1), Carvajal (147), Ciudad Bolívar (11), Móvil Fontibón (32), Tunal (1), Usme (3). Las demás estaciones de la RMCAB no registraron excedencias al promedio 24h, en 2025.</w:t>
      </w:r>
    </w:p>
    <w:p w14:paraId="00000080" w14:textId="77777777" w:rsidR="009D7C1F" w:rsidRDefault="009D7C1F">
      <w:pPr>
        <w:jc w:val="both"/>
        <w:rPr>
          <w:rFonts w:ascii="Arial" w:eastAsia="Arial" w:hAnsi="Arial" w:cs="Arial"/>
        </w:rPr>
      </w:pPr>
    </w:p>
    <w:p w14:paraId="00000081" w14:textId="77777777" w:rsidR="009D7C1F" w:rsidRDefault="009D7C1F">
      <w:pPr>
        <w:jc w:val="both"/>
        <w:rPr>
          <w:rFonts w:ascii="Arial" w:eastAsia="Arial" w:hAnsi="Arial" w:cs="Arial"/>
        </w:rPr>
      </w:pPr>
    </w:p>
    <w:p w14:paraId="00000082" w14:textId="77777777" w:rsidR="009D7C1F" w:rsidRDefault="00000000">
      <w:pPr>
        <w:numPr>
          <w:ilvl w:val="0"/>
          <w:numId w:val="7"/>
        </w:numPr>
        <w:jc w:val="both"/>
        <w:rPr>
          <w:rFonts w:ascii="Arial" w:eastAsia="Arial" w:hAnsi="Arial" w:cs="Arial"/>
        </w:rPr>
      </w:pPr>
      <w:sdt>
        <w:sdtPr>
          <w:tag w:val="goog_rdk_1"/>
          <w:id w:val="1697970888"/>
        </w:sdtPr>
        <w:sdtContent>
          <w:commentRangeStart w:id="3"/>
        </w:sdtContent>
      </w:sdt>
      <w:sdt>
        <w:sdtPr>
          <w:tag w:val="goog_rdk_2"/>
          <w:id w:val="899661970"/>
        </w:sdtPr>
        <w:sdtContent>
          <w:commentRangeStart w:id="4"/>
        </w:sdtContent>
      </w:sdt>
      <w:r>
        <w:rPr>
          <w:rFonts w:ascii="Arial" w:eastAsia="Arial" w:hAnsi="Arial" w:cs="Arial"/>
        </w:rPr>
        <w:t>Señale las principales fuentes de emisión identificadas</w:t>
      </w:r>
      <w:commentRangeEnd w:id="3"/>
      <w:r>
        <w:rPr>
          <w:rStyle w:val="Refdecomentario"/>
          <w:rFonts w:ascii="Arial" w:eastAsia="Arial" w:hAnsi="Arial" w:cs="Arial"/>
          <w:sz w:val="24"/>
          <w:szCs w:val="24"/>
        </w:rPr>
        <w:commentReference w:id="3"/>
      </w:r>
      <w:commentRangeEnd w:id="4"/>
      <w:r>
        <w:rPr>
          <w:rStyle w:val="Refdecomentario"/>
          <w:rFonts w:ascii="Arial" w:eastAsia="Arial" w:hAnsi="Arial" w:cs="Arial"/>
          <w:sz w:val="24"/>
          <w:szCs w:val="24"/>
        </w:rPr>
        <w:commentReference w:id="4"/>
      </w:r>
      <w:r>
        <w:rPr>
          <w:rFonts w:ascii="Arial" w:eastAsia="Arial" w:hAnsi="Arial" w:cs="Arial"/>
        </w:rPr>
        <w:t xml:space="preserve"> y las </w:t>
      </w:r>
      <w:sdt>
        <w:sdtPr>
          <w:tag w:val="goog_rdk_3"/>
          <w:id w:val="1871846245"/>
        </w:sdtPr>
        <w:sdtContent>
          <w:commentRangeStart w:id="5"/>
        </w:sdtContent>
      </w:sdt>
      <w:r>
        <w:rPr>
          <w:rFonts w:ascii="Arial" w:eastAsia="Arial" w:hAnsi="Arial" w:cs="Arial"/>
        </w:rPr>
        <w:t>acciones de mitigación implementadas.</w:t>
      </w:r>
      <w:commentRangeEnd w:id="5"/>
      <w:r>
        <w:rPr>
          <w:rStyle w:val="Refdecomentario"/>
          <w:rFonts w:ascii="Arial" w:eastAsia="Arial" w:hAnsi="Arial" w:cs="Arial"/>
          <w:sz w:val="24"/>
          <w:szCs w:val="24"/>
        </w:rPr>
        <w:commentReference w:id="5"/>
      </w:r>
    </w:p>
    <w:p w14:paraId="00000083" w14:textId="77777777" w:rsidR="009D7C1F" w:rsidRDefault="009D7C1F">
      <w:pPr>
        <w:ind w:left="720"/>
        <w:jc w:val="both"/>
        <w:rPr>
          <w:rFonts w:ascii="Arial" w:eastAsia="Arial" w:hAnsi="Arial" w:cs="Arial"/>
        </w:rPr>
      </w:pPr>
    </w:p>
    <w:p w14:paraId="00000084" w14:textId="77777777" w:rsidR="009D7C1F" w:rsidRDefault="00000000">
      <w:pPr>
        <w:spacing w:before="240" w:after="240"/>
        <w:jc w:val="both"/>
        <w:rPr>
          <w:rFonts w:ascii="Arial" w:eastAsia="Arial" w:hAnsi="Arial" w:cs="Arial"/>
          <w:sz w:val="22"/>
          <w:szCs w:val="22"/>
        </w:rPr>
      </w:pPr>
      <w:r>
        <w:rPr>
          <w:rFonts w:ascii="Arial" w:eastAsia="Arial" w:hAnsi="Arial" w:cs="Arial"/>
          <w:sz w:val="22"/>
          <w:szCs w:val="22"/>
        </w:rPr>
        <w:t>De acuerdo con el Inventario de Emisiones de Bogotá 2023, las principales fuentes de emisión de material particulado (PM10) en la ciudad corresponden a la resuspensión de material en vías, la manipulación de materiales en actividades de construcción y canteras, las fuentes móviles en carretera, el desgaste de frenos y llantas y la operación de maquinaria fuera de carretera. La mayor contribución proviene de la resuspensión de material particulado por el tránsito vehicular, especialmente en vías secundarias y en sectores donde el estado de la malla vial favorece la acumulación de polvo sobre la superficie.</w:t>
      </w:r>
    </w:p>
    <w:p w14:paraId="00000085" w14:textId="77777777" w:rsidR="009D7C1F" w:rsidRDefault="00000000">
      <w:pPr>
        <w:spacing w:before="240" w:after="240"/>
        <w:jc w:val="both"/>
        <w:rPr>
          <w:rFonts w:ascii="Arial" w:eastAsia="Arial" w:hAnsi="Arial" w:cs="Arial"/>
          <w:sz w:val="22"/>
          <w:szCs w:val="22"/>
        </w:rPr>
      </w:pPr>
      <w:r>
        <w:rPr>
          <w:rFonts w:ascii="Arial" w:eastAsia="Arial" w:hAnsi="Arial" w:cs="Arial"/>
          <w:sz w:val="22"/>
          <w:szCs w:val="22"/>
        </w:rPr>
        <w:t>Las emisiones asociadas a la manipulación de materiales, principalmente en obras de construcción, mantenimiento de vías y explotación de canteras, también representan una fracción importante del total de PM10, debido a la generación de partículas gruesas durante el movimiento y transporte de materiales. A estas se suman las emisiones por fuentes móviles en carretera, tanto por combustión como por desgaste de frenos y llantas, así como las generadas por maquinaria fuera de carretera, utilizada en actividades industriales y de construcción. En menor proporción se identifican emisiones provenientes de fuentes fijas industriales, quemas e incendios y fuentes residenciales.</w:t>
      </w:r>
    </w:p>
    <w:p w14:paraId="00000086" w14:textId="77777777" w:rsidR="009D7C1F" w:rsidRDefault="00000000">
      <w:pPr>
        <w:spacing w:before="240" w:after="240"/>
        <w:jc w:val="both"/>
        <w:rPr>
          <w:rFonts w:ascii="Arial" w:eastAsia="Arial" w:hAnsi="Arial" w:cs="Arial"/>
          <w:sz w:val="22"/>
          <w:szCs w:val="22"/>
        </w:rPr>
      </w:pPr>
      <w:r>
        <w:rPr>
          <w:rFonts w:ascii="Arial" w:eastAsia="Arial" w:hAnsi="Arial" w:cs="Arial"/>
          <w:sz w:val="22"/>
          <w:szCs w:val="22"/>
        </w:rPr>
        <w:t>La identificación de estas fuentes permite establecer el diagnóstico técnico del origen de las emisiones de PM10 en la ciudad y constituye la base para el análisis de la calidad del aire y la definición de estrategias de gestión ambiental.</w:t>
      </w:r>
    </w:p>
    <w:p w14:paraId="00000087" w14:textId="77777777" w:rsidR="009D7C1F" w:rsidRDefault="009D7C1F">
      <w:pPr>
        <w:jc w:val="both"/>
        <w:rPr>
          <w:rFonts w:ascii="Arial" w:eastAsia="Arial" w:hAnsi="Arial" w:cs="Arial"/>
        </w:rPr>
      </w:pPr>
    </w:p>
    <w:p w14:paraId="00000088" w14:textId="77777777" w:rsidR="009D7C1F" w:rsidRDefault="009D7C1F">
      <w:pPr>
        <w:jc w:val="both"/>
        <w:rPr>
          <w:rFonts w:ascii="Arial" w:eastAsia="Arial" w:hAnsi="Arial" w:cs="Arial"/>
        </w:rPr>
      </w:pPr>
    </w:p>
    <w:p w14:paraId="00000089" w14:textId="77777777" w:rsidR="009D7C1F" w:rsidRDefault="00000000">
      <w:pPr>
        <w:numPr>
          <w:ilvl w:val="0"/>
          <w:numId w:val="7"/>
        </w:numPr>
        <w:jc w:val="both"/>
        <w:rPr>
          <w:rFonts w:ascii="Arial" w:eastAsia="Arial" w:hAnsi="Arial" w:cs="Arial"/>
        </w:rPr>
      </w:pPr>
      <w:r>
        <w:rPr>
          <w:rFonts w:ascii="Arial" w:eastAsia="Arial" w:hAnsi="Arial" w:cs="Arial"/>
        </w:rPr>
        <w:t>Informe cómo se posiciona la concentración promedio ponderada anual de PM10 en Bogotá durante la vigencia del 2016 hasta el 2026, frente al promedio de Sur América, Centro América, Estados Unidos, México, Canadá y Europa.</w:t>
      </w:r>
    </w:p>
    <w:p w14:paraId="0000008A" w14:textId="77777777" w:rsidR="009D7C1F" w:rsidRDefault="009D7C1F">
      <w:pPr>
        <w:jc w:val="both"/>
        <w:rPr>
          <w:rFonts w:ascii="Arial" w:eastAsia="Arial" w:hAnsi="Arial" w:cs="Arial"/>
        </w:rPr>
      </w:pPr>
    </w:p>
    <w:p w14:paraId="0000008B" w14:textId="77777777" w:rsidR="009D7C1F" w:rsidRDefault="00000000">
      <w:pPr>
        <w:jc w:val="both"/>
        <w:rPr>
          <w:rFonts w:ascii="Arial" w:eastAsia="Arial" w:hAnsi="Arial" w:cs="Arial"/>
        </w:rPr>
      </w:pPr>
      <w:r>
        <w:rPr>
          <w:rFonts w:ascii="Arial" w:eastAsia="Arial" w:hAnsi="Arial" w:cs="Arial"/>
        </w:rPr>
        <w:t>La concentración promedio ponderado anual de PM10 calculado por la SDA, no es comparable con métricas o indicadores a nivel de otros países, dado que como se explicó los factores de ponderación obedecen a criterios de distribución de la población urbana en Bogotá y la metodología de cálculo es específica.</w:t>
      </w:r>
    </w:p>
    <w:p w14:paraId="0000008C" w14:textId="77777777" w:rsidR="009D7C1F" w:rsidRDefault="009D7C1F">
      <w:pPr>
        <w:jc w:val="both"/>
        <w:rPr>
          <w:rFonts w:ascii="Arial" w:eastAsia="Arial" w:hAnsi="Arial" w:cs="Arial"/>
        </w:rPr>
      </w:pPr>
    </w:p>
    <w:p w14:paraId="0000008D" w14:textId="77777777" w:rsidR="009D7C1F" w:rsidRDefault="00000000">
      <w:pPr>
        <w:jc w:val="both"/>
        <w:rPr>
          <w:rFonts w:ascii="Arial" w:eastAsia="Arial" w:hAnsi="Arial" w:cs="Arial"/>
        </w:rPr>
      </w:pPr>
      <w:r>
        <w:rPr>
          <w:rFonts w:ascii="Arial" w:eastAsia="Arial" w:hAnsi="Arial" w:cs="Arial"/>
        </w:rPr>
        <w:t>Por otro lado, los promedios a nivel de ciudad (sin factores de ponderación) podrían ser indicativos a nivel internacional de condiciones generales en materia de contaminantes de calidad del aire. Sin embargo, se requeriría realizar los cálculos para cada ciudad o país con una metodología validada técnicamente, y contar con la información de base y de fuentes confiables, con el fin de que sean comparables, por lo tanto, la Secretaría Distrital de Ambiente no tiene la función de realizar este tipo de análisis en el ámbito internacional.</w:t>
      </w:r>
    </w:p>
    <w:p w14:paraId="0000008E" w14:textId="77777777" w:rsidR="009D7C1F" w:rsidRDefault="009D7C1F">
      <w:pPr>
        <w:jc w:val="both"/>
        <w:rPr>
          <w:rFonts w:ascii="Arial" w:eastAsia="Arial" w:hAnsi="Arial" w:cs="Arial"/>
        </w:rPr>
      </w:pPr>
    </w:p>
    <w:p w14:paraId="0000008F" w14:textId="77777777" w:rsidR="009D7C1F" w:rsidRDefault="009D7C1F">
      <w:pPr>
        <w:jc w:val="both"/>
        <w:rPr>
          <w:rFonts w:ascii="Arial" w:eastAsia="Arial" w:hAnsi="Arial" w:cs="Arial"/>
        </w:rPr>
      </w:pPr>
    </w:p>
    <w:p w14:paraId="00000090" w14:textId="77777777" w:rsidR="009D7C1F" w:rsidRDefault="00000000">
      <w:pPr>
        <w:numPr>
          <w:ilvl w:val="0"/>
          <w:numId w:val="7"/>
        </w:numPr>
        <w:spacing w:after="280"/>
        <w:jc w:val="both"/>
        <w:rPr>
          <w:rFonts w:ascii="Arial" w:eastAsia="Arial" w:hAnsi="Arial" w:cs="Arial"/>
        </w:rPr>
      </w:pPr>
      <w:r>
        <w:rPr>
          <w:rFonts w:ascii="Arial" w:eastAsia="Arial" w:hAnsi="Arial" w:cs="Arial"/>
        </w:rPr>
        <w:t>Informe cómo se posiciona la concentración promedio ponderada anual de PM10 en Bogotá durante la vigencia del 2016 hasta el 2026, frente al promedio de los países de la Organización para la Cooperación y el Desarrollo Económicos (OCDE).</w:t>
      </w:r>
    </w:p>
    <w:p w14:paraId="00000091" w14:textId="77777777" w:rsidR="009D7C1F" w:rsidRDefault="00000000">
      <w:pPr>
        <w:jc w:val="both"/>
        <w:rPr>
          <w:rFonts w:ascii="Arial" w:eastAsia="Arial" w:hAnsi="Arial" w:cs="Arial"/>
        </w:rPr>
      </w:pPr>
      <w:r>
        <w:rPr>
          <w:rFonts w:ascii="Arial" w:eastAsia="Arial" w:hAnsi="Arial" w:cs="Arial"/>
        </w:rPr>
        <w:t>Como se menciona en el punto anterior, la concentración promedio ponderado anual de PM10, no es comparable con métricas o indicadores de otros países, dado que como se explicó los factores de ponderación obedecen a criterios de distribución de la población urbana en Bogotá y la metodología de cálculo es específica.</w:t>
      </w:r>
    </w:p>
    <w:p w14:paraId="00000092" w14:textId="77777777" w:rsidR="009D7C1F" w:rsidRDefault="009D7C1F">
      <w:pPr>
        <w:jc w:val="both"/>
        <w:rPr>
          <w:rFonts w:ascii="Arial" w:eastAsia="Arial" w:hAnsi="Arial" w:cs="Arial"/>
        </w:rPr>
      </w:pPr>
    </w:p>
    <w:p w14:paraId="00000093" w14:textId="77777777" w:rsidR="009D7C1F" w:rsidRDefault="00000000">
      <w:pPr>
        <w:jc w:val="both"/>
        <w:rPr>
          <w:rFonts w:ascii="Arial" w:eastAsia="Arial" w:hAnsi="Arial" w:cs="Arial"/>
        </w:rPr>
      </w:pPr>
      <w:r>
        <w:rPr>
          <w:rFonts w:ascii="Arial" w:eastAsia="Arial" w:hAnsi="Arial" w:cs="Arial"/>
        </w:rPr>
        <w:t xml:space="preserve">Si bien en la web, se encuentran sitios web oficiales y no oficiales que publican cifras e indicadores de calidad del aire de diferentes países, al revisar la metodología de cálculo (cuando está disponible) puede combinar diferentes metodologías a partir de monitoreo, bases de datos, modelos satelitales, entre otros, son estos mismos sitios u organizaciones los que ofrecen comparativos entre distintos países, como por ejemplo en el sitio web de la </w:t>
      </w:r>
      <w:hyperlink r:id="rId16">
        <w:r>
          <w:rPr>
            <w:rFonts w:ascii="Arial" w:eastAsia="Arial" w:hAnsi="Arial" w:cs="Arial"/>
            <w:color w:val="1155CC"/>
            <w:u w:val="single"/>
          </w:rPr>
          <w:t>oecd.org</w:t>
        </w:r>
      </w:hyperlink>
      <w:r>
        <w:rPr>
          <w:rFonts w:ascii="Arial" w:eastAsia="Arial" w:hAnsi="Arial" w:cs="Arial"/>
        </w:rPr>
        <w:t>:</w:t>
      </w:r>
    </w:p>
    <w:p w14:paraId="00000094" w14:textId="77777777" w:rsidR="009D7C1F" w:rsidRDefault="009D7C1F">
      <w:pPr>
        <w:jc w:val="both"/>
        <w:rPr>
          <w:rFonts w:ascii="Arial" w:eastAsia="Arial" w:hAnsi="Arial" w:cs="Arial"/>
        </w:rPr>
      </w:pPr>
    </w:p>
    <w:p w14:paraId="00000095" w14:textId="77777777" w:rsidR="009D7C1F" w:rsidRDefault="00000000">
      <w:pPr>
        <w:jc w:val="both"/>
        <w:rPr>
          <w:rFonts w:ascii="Arial" w:eastAsia="Arial" w:hAnsi="Arial" w:cs="Arial"/>
        </w:rPr>
      </w:pPr>
      <w:r>
        <w:rPr>
          <w:rFonts w:ascii="Arial" w:eastAsia="Arial" w:hAnsi="Arial" w:cs="Arial"/>
        </w:rPr>
        <w:t>Dashboard:</w:t>
      </w:r>
    </w:p>
    <w:p w14:paraId="00000096" w14:textId="77777777" w:rsidR="009D7C1F" w:rsidRDefault="00000000">
      <w:pPr>
        <w:jc w:val="both"/>
        <w:rPr>
          <w:rFonts w:ascii="Arial" w:eastAsia="Arial" w:hAnsi="Arial" w:cs="Arial"/>
        </w:rPr>
      </w:pPr>
      <w:hyperlink r:id="rId17">
        <w:r>
          <w:rPr>
            <w:rFonts w:ascii="Arial" w:eastAsia="Arial" w:hAnsi="Arial" w:cs="Arial"/>
            <w:color w:val="1155CC"/>
            <w:u w:val="single"/>
          </w:rPr>
          <w:t>https://www.oecd.org/en/data/dashboards/environment-at-a-glance.html?oecdcontrol-chart-control-4cd72b7152-var1=COL</w:t>
        </w:r>
      </w:hyperlink>
    </w:p>
    <w:p w14:paraId="00000097" w14:textId="77777777" w:rsidR="009D7C1F" w:rsidRDefault="009D7C1F">
      <w:pPr>
        <w:jc w:val="both"/>
        <w:rPr>
          <w:rFonts w:ascii="Arial" w:eastAsia="Arial" w:hAnsi="Arial" w:cs="Arial"/>
        </w:rPr>
      </w:pPr>
    </w:p>
    <w:p w14:paraId="00000098" w14:textId="77777777" w:rsidR="009D7C1F" w:rsidRDefault="00000000">
      <w:pPr>
        <w:jc w:val="both"/>
        <w:rPr>
          <w:rFonts w:ascii="Arial" w:eastAsia="Arial" w:hAnsi="Arial" w:cs="Arial"/>
        </w:rPr>
      </w:pPr>
      <w:r>
        <w:rPr>
          <w:rFonts w:ascii="Arial" w:eastAsia="Arial" w:hAnsi="Arial" w:cs="Arial"/>
        </w:rPr>
        <w:t>Metodología y resultados:</w:t>
      </w:r>
    </w:p>
    <w:p w14:paraId="00000099" w14:textId="77777777" w:rsidR="009D7C1F" w:rsidRDefault="00000000">
      <w:pPr>
        <w:jc w:val="both"/>
        <w:rPr>
          <w:rFonts w:ascii="Arial" w:eastAsia="Arial" w:hAnsi="Arial" w:cs="Arial"/>
        </w:rPr>
      </w:pPr>
      <w:hyperlink r:id="rId18">
        <w:r>
          <w:rPr>
            <w:rFonts w:ascii="Arial" w:eastAsia="Arial" w:hAnsi="Arial" w:cs="Arial"/>
            <w:color w:val="1155CC"/>
            <w:u w:val="single"/>
          </w:rPr>
          <w:t>https://www.oecd.org/content/dam/oecd/en/publications/reports/2016/08/population-exposure-to-fine-particles_g17a285c/5jlsqs8g1t9r-en.pdf</w:t>
        </w:r>
      </w:hyperlink>
    </w:p>
    <w:p w14:paraId="0000009A" w14:textId="77777777" w:rsidR="009D7C1F" w:rsidRDefault="009D7C1F">
      <w:pPr>
        <w:jc w:val="both"/>
        <w:rPr>
          <w:rFonts w:ascii="Arial" w:eastAsia="Arial" w:hAnsi="Arial" w:cs="Arial"/>
        </w:rPr>
      </w:pPr>
    </w:p>
    <w:p w14:paraId="0000009B" w14:textId="77777777" w:rsidR="009D7C1F" w:rsidRDefault="00000000">
      <w:pPr>
        <w:spacing w:before="280" w:after="280"/>
        <w:jc w:val="both"/>
        <w:rPr>
          <w:rFonts w:ascii="Arial" w:eastAsia="Arial" w:hAnsi="Arial" w:cs="Arial"/>
          <w:b/>
          <w:bCs/>
        </w:rPr>
      </w:pPr>
      <w:r>
        <w:rPr>
          <w:rFonts w:ascii="Arial" w:eastAsia="Arial" w:hAnsi="Arial" w:cs="Arial"/>
          <w:b/>
          <w:bCs/>
        </w:rPr>
        <w:t>Concentración de PM2,5 (promedio ponderado en microgramos sobre m3):</w:t>
      </w:r>
    </w:p>
    <w:p w14:paraId="0000009C" w14:textId="77777777" w:rsidR="009D7C1F" w:rsidRDefault="00000000">
      <w:pPr>
        <w:spacing w:before="280" w:after="280"/>
        <w:jc w:val="both"/>
        <w:rPr>
          <w:rFonts w:ascii="Arial" w:eastAsia="Arial" w:hAnsi="Arial" w:cs="Arial"/>
          <w:b/>
          <w:bCs/>
        </w:rPr>
      </w:pPr>
      <w:sdt>
        <w:sdtPr>
          <w:tag w:val="goog_rdk_4"/>
          <w:id w:val="-356916850"/>
        </w:sdtPr>
        <w:sdtContent>
          <w:commentRangeStart w:id="6"/>
        </w:sdtContent>
      </w:sdt>
      <w:sdt>
        <w:sdtPr>
          <w:tag w:val="goog_rdk_5"/>
          <w:id w:val="408456672"/>
        </w:sdtPr>
        <w:sdtContent>
          <w:commentRangeStart w:id="7"/>
        </w:sdtContent>
      </w:sdt>
      <w:r>
        <w:rPr>
          <w:rFonts w:ascii="Arial" w:eastAsia="Arial" w:hAnsi="Arial" w:cs="Arial"/>
          <w:b/>
          <w:bCs/>
          <w:highlight w:val="yellow"/>
        </w:rPr>
        <w:t>(Subdirección encargada de este bloque de preguntas SCAAV)</w:t>
      </w:r>
      <w:commentRangeEnd w:id="6"/>
      <w:r>
        <w:rPr>
          <w:rStyle w:val="Refdecomentario"/>
          <w:rFonts w:ascii="Arial" w:eastAsia="Arial" w:hAnsi="Arial" w:cs="Arial"/>
          <w:b/>
          <w:bCs/>
          <w:sz w:val="24"/>
          <w:szCs w:val="24"/>
        </w:rPr>
        <w:commentReference w:id="6"/>
      </w:r>
      <w:commentRangeEnd w:id="7"/>
      <w:r>
        <w:rPr>
          <w:rStyle w:val="Refdecomentario"/>
          <w:rFonts w:ascii="Arial" w:eastAsia="Arial" w:hAnsi="Arial" w:cs="Arial"/>
          <w:b/>
          <w:bCs/>
          <w:sz w:val="24"/>
          <w:szCs w:val="24"/>
        </w:rPr>
        <w:commentReference w:id="7"/>
      </w:r>
    </w:p>
    <w:p w14:paraId="0000009D" w14:textId="77777777" w:rsidR="009D7C1F" w:rsidRDefault="00000000">
      <w:pPr>
        <w:numPr>
          <w:ilvl w:val="0"/>
          <w:numId w:val="8"/>
        </w:numPr>
        <w:spacing w:before="280"/>
        <w:jc w:val="both"/>
        <w:rPr>
          <w:rFonts w:ascii="Arial" w:eastAsia="Arial" w:hAnsi="Arial" w:cs="Arial"/>
        </w:rPr>
      </w:pPr>
      <w:r>
        <w:rPr>
          <w:rFonts w:ascii="Arial" w:eastAsia="Arial" w:hAnsi="Arial" w:cs="Arial"/>
        </w:rPr>
        <w:t>Indique la concentración promedio ponderada anual de PM2,5 en Bogotá, expresada en microgramos por metro cúbico (µg/m³), correspondiente al 2025.</w:t>
      </w:r>
    </w:p>
    <w:p w14:paraId="0000009E" w14:textId="77777777" w:rsidR="009D7C1F" w:rsidRDefault="00000000">
      <w:pPr>
        <w:spacing w:before="240" w:after="240"/>
        <w:jc w:val="both"/>
        <w:rPr>
          <w:rFonts w:ascii="Arial" w:eastAsia="Arial" w:hAnsi="Arial" w:cs="Arial"/>
        </w:rPr>
      </w:pPr>
      <w:r>
        <w:rPr>
          <w:rFonts w:ascii="Arial" w:eastAsia="Arial" w:hAnsi="Arial" w:cs="Arial"/>
        </w:rPr>
        <w:t xml:space="preserve">El promedio ponderado ciudad anual de PM2.5 en Bogotá tuvo un valor de </w:t>
      </w:r>
      <w:r>
        <w:rPr>
          <w:rFonts w:ascii="Arial" w:eastAsia="Arial" w:hAnsi="Arial" w:cs="Arial"/>
          <w:b/>
          <w:bCs/>
        </w:rPr>
        <w:t>13,4 µg/m3</w:t>
      </w:r>
      <w:r>
        <w:rPr>
          <w:rFonts w:ascii="Arial" w:eastAsia="Arial" w:hAnsi="Arial" w:cs="Arial"/>
        </w:rPr>
        <w:t xml:space="preserve"> para el periodo 2025, valor obtenido a partir de los datos de promedio anual de cada estación de monitoreo.</w:t>
      </w:r>
    </w:p>
    <w:p w14:paraId="0000009F" w14:textId="77777777" w:rsidR="009D7C1F" w:rsidRDefault="00000000">
      <w:pPr>
        <w:spacing w:before="240" w:after="240"/>
        <w:jc w:val="both"/>
        <w:rPr>
          <w:rFonts w:ascii="Arial" w:eastAsia="Arial" w:hAnsi="Arial" w:cs="Arial"/>
        </w:rPr>
      </w:pPr>
      <w:r>
        <w:rPr>
          <w:rFonts w:ascii="Arial" w:eastAsia="Arial" w:hAnsi="Arial" w:cs="Arial"/>
        </w:rPr>
        <w:t>El indicador promedio ponderado ciudad anual de PM10 en Bogotá, considera la distribución poblacional de la zona suroccidental (ZSO) y el resto de la ciudad (R). Se calcula con base en los promedios anuales de concentración de PM10 obtenidos por estación. Se asigna un factor del 40% a las estaciones de la zona suroccidental (Carvajal – Sevillana, Ciudad Bolívar, Fontibón, Kennedy, Móvil Fontibón, Puente Aranda y Tunal) y un 60% a las estaciones restantes (Bolivia, CDAR, Colina, Guaymaral, Jazmín, Ferias, MinAmbiente, Móvil 7ma, San Cristóbal, Suba, Usaquén y Usme), es importante indicar que solo se deben tener en cuenta las estaciones que cumplieron con el criterio de representatividad del 75% de datos válidos. La fórmula del indicador se muestra a continuación:</w:t>
      </w:r>
    </w:p>
    <w:p w14:paraId="000000A0" w14:textId="77777777" w:rsidR="009D7C1F" w:rsidRDefault="00000000">
      <w:pPr>
        <w:spacing w:before="240" w:after="240"/>
        <w:jc w:val="both"/>
        <w:rPr>
          <w:rFonts w:ascii="Arial" w:eastAsia="Arial" w:hAnsi="Arial" w:cs="Arial"/>
        </w:rPr>
      </w:pPr>
      <w:r>
        <w:rPr>
          <w:rFonts w:ascii="Arial" w:eastAsia="Arial" w:hAnsi="Arial" w:cs="Arial"/>
          <w:noProof/>
        </w:rPr>
        <w:drawing>
          <wp:inline distT="114300" distB="114300" distL="114300" distR="114300" wp14:anchorId="78D11710" wp14:editId="086EBBEC">
            <wp:extent cx="3181350" cy="609600"/>
            <wp:effectExtent l="0" t="0" r="0" b="0"/>
            <wp:docPr id="5"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4"/>
                    <a:srcRect/>
                    <a:stretch>
                      <a:fillRect/>
                    </a:stretch>
                  </pic:blipFill>
                  <pic:spPr>
                    <a:xfrm>
                      <a:off x="0" y="0"/>
                      <a:ext cx="3181350" cy="609600"/>
                    </a:xfrm>
                    <a:prstGeom prst="rect">
                      <a:avLst/>
                    </a:prstGeom>
                    <a:ln/>
                  </pic:spPr>
                </pic:pic>
              </a:graphicData>
            </a:graphic>
          </wp:inline>
        </w:drawing>
      </w:r>
    </w:p>
    <w:p w14:paraId="000000A1" w14:textId="77777777" w:rsidR="009D7C1F" w:rsidRDefault="00000000">
      <w:pPr>
        <w:jc w:val="both"/>
        <w:rPr>
          <w:rFonts w:ascii="Arial" w:eastAsia="Arial" w:hAnsi="Arial" w:cs="Arial"/>
          <w:sz w:val="20"/>
          <w:szCs w:val="20"/>
        </w:rPr>
      </w:pPr>
      <w:r>
        <w:rPr>
          <w:rFonts w:ascii="Arial" w:eastAsia="Arial" w:hAnsi="Arial" w:cs="Arial"/>
          <w:b/>
          <w:bCs/>
          <w:sz w:val="20"/>
          <w:szCs w:val="20"/>
        </w:rPr>
        <w:t xml:space="preserve">CPMy  </w:t>
      </w:r>
      <w:r>
        <w:rPr>
          <w:rFonts w:ascii="Arial" w:eastAsia="Arial" w:hAnsi="Arial" w:cs="Arial"/>
          <w:sz w:val="20"/>
          <w:szCs w:val="20"/>
        </w:rPr>
        <w:t xml:space="preserve">  es la concentración de material particulado (PM10), que se desea calcular a nivel ciudad como promedio ponderado en un periodo</w:t>
      </w:r>
    </w:p>
    <w:p w14:paraId="000000A2" w14:textId="77777777" w:rsidR="009D7C1F" w:rsidRDefault="00000000">
      <w:pPr>
        <w:jc w:val="both"/>
        <w:rPr>
          <w:rFonts w:ascii="Arial" w:eastAsia="Arial" w:hAnsi="Arial" w:cs="Arial"/>
          <w:sz w:val="20"/>
          <w:szCs w:val="20"/>
        </w:rPr>
      </w:pPr>
      <w:r>
        <w:rPr>
          <w:rFonts w:ascii="Arial" w:eastAsia="Arial" w:hAnsi="Arial" w:cs="Arial"/>
          <w:b/>
          <w:bCs/>
          <w:sz w:val="20"/>
          <w:szCs w:val="20"/>
        </w:rPr>
        <w:t>CiZSO</w:t>
      </w:r>
      <w:r>
        <w:rPr>
          <w:rFonts w:ascii="Arial" w:eastAsia="Arial" w:hAnsi="Arial" w:cs="Arial"/>
          <w:sz w:val="20"/>
          <w:szCs w:val="20"/>
        </w:rPr>
        <w:t xml:space="preserve"> es la concentración en el periodo deseado para una estación i de la zona Suroccidental (ZSO), de la ciudad</w:t>
      </w:r>
    </w:p>
    <w:p w14:paraId="000000A3" w14:textId="77777777" w:rsidR="009D7C1F" w:rsidRDefault="00000000">
      <w:pPr>
        <w:jc w:val="both"/>
        <w:rPr>
          <w:rFonts w:ascii="Arial" w:eastAsia="Arial" w:hAnsi="Arial" w:cs="Arial"/>
          <w:sz w:val="20"/>
          <w:szCs w:val="20"/>
        </w:rPr>
      </w:pPr>
      <w:r>
        <w:rPr>
          <w:rFonts w:ascii="Arial" w:eastAsia="Arial" w:hAnsi="Arial" w:cs="Arial"/>
          <w:b/>
          <w:bCs/>
          <w:sz w:val="20"/>
          <w:szCs w:val="20"/>
        </w:rPr>
        <w:t>n</w:t>
      </w:r>
      <w:r>
        <w:rPr>
          <w:rFonts w:ascii="Arial" w:eastAsia="Arial" w:hAnsi="Arial" w:cs="Arial"/>
          <w:sz w:val="20"/>
          <w:szCs w:val="20"/>
        </w:rPr>
        <w:t xml:space="preserve"> es el número de estaciones que entran en el cálculo para la ZSO dependiendo de la representatividad de los datos para el periodo escogido</w:t>
      </w:r>
    </w:p>
    <w:p w14:paraId="000000A4" w14:textId="77777777" w:rsidR="009D7C1F" w:rsidRDefault="00000000">
      <w:pPr>
        <w:jc w:val="both"/>
        <w:rPr>
          <w:rFonts w:ascii="Arial" w:eastAsia="Arial" w:hAnsi="Arial" w:cs="Arial"/>
          <w:sz w:val="20"/>
          <w:szCs w:val="20"/>
        </w:rPr>
      </w:pPr>
      <w:r>
        <w:rPr>
          <w:rFonts w:ascii="Arial" w:eastAsia="Arial" w:hAnsi="Arial" w:cs="Arial"/>
          <w:b/>
          <w:bCs/>
          <w:sz w:val="20"/>
          <w:szCs w:val="20"/>
        </w:rPr>
        <w:t>CjR</w:t>
      </w:r>
      <w:r>
        <w:rPr>
          <w:rFonts w:ascii="Arial" w:eastAsia="Arial" w:hAnsi="Arial" w:cs="Arial"/>
          <w:sz w:val="20"/>
          <w:szCs w:val="20"/>
        </w:rPr>
        <w:t xml:space="preserve"> es la concentración en el periodo deseado para una estación j del resto de la ciudad (sin incluir la ZSO)</w:t>
      </w:r>
    </w:p>
    <w:p w14:paraId="000000A5" w14:textId="77777777" w:rsidR="009D7C1F" w:rsidRDefault="00000000">
      <w:pPr>
        <w:jc w:val="both"/>
        <w:rPr>
          <w:rFonts w:ascii="Arial" w:eastAsia="Arial" w:hAnsi="Arial" w:cs="Arial"/>
          <w:sz w:val="20"/>
          <w:szCs w:val="20"/>
        </w:rPr>
      </w:pPr>
      <w:r>
        <w:rPr>
          <w:rFonts w:ascii="Arial" w:eastAsia="Arial" w:hAnsi="Arial" w:cs="Arial"/>
          <w:b/>
          <w:bCs/>
          <w:sz w:val="20"/>
          <w:szCs w:val="20"/>
        </w:rPr>
        <w:t>m</w:t>
      </w:r>
      <w:r>
        <w:rPr>
          <w:rFonts w:ascii="Arial" w:eastAsia="Arial" w:hAnsi="Arial" w:cs="Arial"/>
          <w:sz w:val="20"/>
          <w:szCs w:val="20"/>
        </w:rPr>
        <w:t xml:space="preserve"> es el número de estaciones que entran en el cálculo para el resto de la ciudad dependiendo de la representatividad de los datos para el periodo escogido</w:t>
      </w:r>
    </w:p>
    <w:p w14:paraId="000000A6" w14:textId="77777777" w:rsidR="009D7C1F" w:rsidRDefault="009D7C1F">
      <w:pPr>
        <w:spacing w:before="280"/>
        <w:jc w:val="both"/>
        <w:rPr>
          <w:rFonts w:ascii="Arial" w:eastAsia="Arial" w:hAnsi="Arial" w:cs="Arial"/>
        </w:rPr>
      </w:pPr>
    </w:p>
    <w:p w14:paraId="000000A7" w14:textId="77777777" w:rsidR="009D7C1F" w:rsidRDefault="00000000">
      <w:pPr>
        <w:numPr>
          <w:ilvl w:val="0"/>
          <w:numId w:val="8"/>
        </w:numPr>
        <w:jc w:val="both"/>
        <w:rPr>
          <w:rFonts w:ascii="Arial" w:eastAsia="Arial" w:hAnsi="Arial" w:cs="Arial"/>
        </w:rPr>
      </w:pPr>
      <w:r>
        <w:rPr>
          <w:rFonts w:ascii="Arial" w:eastAsia="Arial" w:hAnsi="Arial" w:cs="Arial"/>
        </w:rPr>
        <w:t>Presente la evolución histórica del indicador en los últimos 10 años.</w:t>
      </w:r>
    </w:p>
    <w:p w14:paraId="000000A8" w14:textId="77777777" w:rsidR="009D7C1F" w:rsidRDefault="009D7C1F">
      <w:pPr>
        <w:jc w:val="both"/>
        <w:rPr>
          <w:rFonts w:ascii="Arial" w:eastAsia="Arial" w:hAnsi="Arial" w:cs="Arial"/>
        </w:rPr>
      </w:pPr>
    </w:p>
    <w:p w14:paraId="000000A9" w14:textId="77777777" w:rsidR="009D7C1F" w:rsidRDefault="00000000">
      <w:pPr>
        <w:jc w:val="both"/>
        <w:rPr>
          <w:rFonts w:ascii="Arial" w:eastAsia="Arial" w:hAnsi="Arial" w:cs="Arial"/>
        </w:rPr>
      </w:pPr>
      <w:r>
        <w:rPr>
          <w:rFonts w:ascii="Arial" w:eastAsia="Arial" w:hAnsi="Arial" w:cs="Arial"/>
        </w:rPr>
        <w:t xml:space="preserve">No se tiene un récord histórico de los últimos 10 años de este indicador, debido a que el promedio ponderado anual ciudad se definió inicialmente con una línea base a partir de 13 estaciones de monitoreo en el marco del Plan Distrital de Desarrollo 2020 – 2024 “Un Nuevo Contrato Social y Ambiental para la Bogotá del Siglo XXI”, con el fin de cuantificar la meta trazadora de reducción de 10% en el cuatrienio; posteriormente la métrica fue modificada en el marco del PDD </w:t>
      </w:r>
      <w:r>
        <w:rPr>
          <w:rFonts w:ascii="Arial" w:eastAsia="Arial" w:hAnsi="Arial" w:cs="Arial"/>
          <w:b/>
          <w:bCs/>
        </w:rPr>
        <w:t xml:space="preserve">2024-2027 “Bogotá Camina Segura” </w:t>
      </w:r>
      <w:r>
        <w:rPr>
          <w:rFonts w:ascii="Arial" w:eastAsia="Arial" w:hAnsi="Arial" w:cs="Arial"/>
        </w:rPr>
        <w:t>estructurando un nuevo valor de línea base en 2023 a partir de datos de 19 estaciones de monitoreo, para cuantificar la meta de Reducir un 8% como promedio ponderado ciudad la concentración de PM2.5.</w:t>
      </w:r>
    </w:p>
    <w:p w14:paraId="000000AA" w14:textId="77777777" w:rsidR="009D7C1F" w:rsidRDefault="009D7C1F">
      <w:pPr>
        <w:jc w:val="both"/>
        <w:rPr>
          <w:rFonts w:ascii="Arial" w:eastAsia="Arial" w:hAnsi="Arial" w:cs="Arial"/>
        </w:rPr>
      </w:pPr>
    </w:p>
    <w:p w14:paraId="000000AB" w14:textId="77777777" w:rsidR="009D7C1F" w:rsidRDefault="00000000">
      <w:pPr>
        <w:jc w:val="both"/>
        <w:rPr>
          <w:rFonts w:ascii="Arial" w:eastAsia="Arial" w:hAnsi="Arial" w:cs="Arial"/>
          <w:i/>
          <w:iCs/>
        </w:rPr>
      </w:pPr>
      <w:r>
        <w:rPr>
          <w:rFonts w:ascii="Arial" w:eastAsia="Arial" w:hAnsi="Arial" w:cs="Arial"/>
          <w:i/>
          <w:iCs/>
        </w:rPr>
        <w:t>Resultados promedio ponderado 2020 - 2023</w:t>
      </w:r>
    </w:p>
    <w:p w14:paraId="000000AC" w14:textId="77777777" w:rsidR="009D7C1F" w:rsidRDefault="009D7C1F">
      <w:pPr>
        <w:jc w:val="both"/>
        <w:rPr>
          <w:rFonts w:ascii="Arial" w:eastAsia="Arial" w:hAnsi="Arial" w:cs="Arial"/>
        </w:rPr>
      </w:pPr>
    </w:p>
    <w:p w14:paraId="000000AD" w14:textId="77777777" w:rsidR="009D7C1F" w:rsidRDefault="00000000">
      <w:pPr>
        <w:jc w:val="both"/>
        <w:rPr>
          <w:rFonts w:ascii="Arial" w:eastAsia="Arial" w:hAnsi="Arial" w:cs="Arial"/>
          <w:sz w:val="26"/>
          <w:szCs w:val="26"/>
        </w:rPr>
      </w:pPr>
      <w:r>
        <w:rPr>
          <w:rFonts w:ascii="Arial" w:eastAsia="Arial" w:hAnsi="Arial" w:cs="Arial"/>
        </w:rPr>
        <w:t xml:space="preserve">Con corte a 31 de diciembre de 2023, para PM2,5 se obtuvo un promedio ponderado de 17,9 µg/m3 que representa una </w:t>
      </w:r>
      <w:r>
        <w:rPr>
          <w:rFonts w:ascii="Arial" w:eastAsia="Arial" w:hAnsi="Arial" w:cs="Arial"/>
          <w:b/>
          <w:bCs/>
        </w:rPr>
        <w:t>reducción de 1,8 µg/m3 equivalente a un 9,4%</w:t>
      </w:r>
      <w:r>
        <w:rPr>
          <w:rFonts w:ascii="Arial" w:eastAsia="Arial" w:hAnsi="Arial" w:cs="Arial"/>
        </w:rPr>
        <w:t xml:space="preserve"> respecto a la línea base 2019 (19,7µg/m3 ) meta PDD.</w:t>
      </w:r>
    </w:p>
    <w:p w14:paraId="000000AE" w14:textId="77777777" w:rsidR="009D7C1F" w:rsidRDefault="009D7C1F">
      <w:pPr>
        <w:jc w:val="both"/>
        <w:rPr>
          <w:rFonts w:ascii="Arial" w:eastAsia="Arial" w:hAnsi="Arial" w:cs="Arial"/>
        </w:rPr>
      </w:pPr>
    </w:p>
    <w:p w14:paraId="000000AF" w14:textId="77777777" w:rsidR="009D7C1F" w:rsidRDefault="00000000">
      <w:pPr>
        <w:jc w:val="both"/>
        <w:rPr>
          <w:rFonts w:ascii="Arial" w:eastAsia="Arial" w:hAnsi="Arial" w:cs="Arial"/>
          <w:i/>
          <w:iCs/>
        </w:rPr>
      </w:pPr>
      <w:r>
        <w:rPr>
          <w:rFonts w:ascii="Arial" w:eastAsia="Arial" w:hAnsi="Arial" w:cs="Arial"/>
          <w:i/>
          <w:iCs/>
        </w:rPr>
        <w:t>Resultados promedio ponderado 2024 - 2027</w:t>
      </w:r>
    </w:p>
    <w:p w14:paraId="000000B0" w14:textId="77777777" w:rsidR="009D7C1F" w:rsidRDefault="009D7C1F">
      <w:pPr>
        <w:jc w:val="both"/>
        <w:rPr>
          <w:rFonts w:ascii="Arial" w:eastAsia="Arial" w:hAnsi="Arial" w:cs="Arial"/>
        </w:rPr>
      </w:pPr>
    </w:p>
    <w:p w14:paraId="000000B1" w14:textId="77777777" w:rsidR="009D7C1F" w:rsidRDefault="00000000">
      <w:pPr>
        <w:jc w:val="both"/>
        <w:rPr>
          <w:rFonts w:ascii="Arial" w:eastAsia="Arial" w:hAnsi="Arial" w:cs="Arial"/>
        </w:rPr>
      </w:pPr>
      <w:r>
        <w:rPr>
          <w:rFonts w:ascii="Arial" w:eastAsia="Arial" w:hAnsi="Arial" w:cs="Arial"/>
        </w:rPr>
        <w:t>Con corte a 31 de diciembre de 2025 el indicador para PM2.5 se registró una reducción del 18% respecto a la línea base, inclusive alcanzado la meta proyectada a 2027 para el cuatrienio, lo cual indica que en 2025 las concentraciones de este contaminante disminuyeron notablemente en comparación con el periodo 2023 de la línea base.</w:t>
      </w:r>
    </w:p>
    <w:p w14:paraId="000000B2" w14:textId="77777777" w:rsidR="009D7C1F" w:rsidRDefault="009D7C1F">
      <w:pPr>
        <w:jc w:val="both"/>
        <w:rPr>
          <w:rFonts w:ascii="Arial" w:eastAsia="Arial" w:hAnsi="Arial" w:cs="Arial"/>
        </w:rPr>
      </w:pPr>
    </w:p>
    <w:p w14:paraId="000000B3" w14:textId="77777777" w:rsidR="009D7C1F" w:rsidRDefault="009D7C1F">
      <w:pPr>
        <w:jc w:val="both"/>
        <w:rPr>
          <w:rFonts w:ascii="Arial" w:eastAsia="Arial" w:hAnsi="Arial" w:cs="Arial"/>
        </w:rPr>
      </w:pPr>
    </w:p>
    <w:p w14:paraId="000000B4" w14:textId="77777777" w:rsidR="009D7C1F" w:rsidRDefault="00000000">
      <w:pPr>
        <w:numPr>
          <w:ilvl w:val="0"/>
          <w:numId w:val="8"/>
        </w:numPr>
        <w:jc w:val="both"/>
        <w:rPr>
          <w:rFonts w:ascii="Arial" w:eastAsia="Arial" w:hAnsi="Arial" w:cs="Arial"/>
        </w:rPr>
      </w:pPr>
      <w:r>
        <w:rPr>
          <w:rFonts w:ascii="Arial" w:eastAsia="Arial" w:hAnsi="Arial" w:cs="Arial"/>
        </w:rPr>
        <w:t>Desagregue la información por estación de monitoreo y localidad.</w:t>
      </w:r>
    </w:p>
    <w:p w14:paraId="000000B5" w14:textId="77777777" w:rsidR="009D7C1F" w:rsidRDefault="009D7C1F">
      <w:pPr>
        <w:jc w:val="both"/>
        <w:rPr>
          <w:rFonts w:ascii="Arial" w:eastAsia="Arial" w:hAnsi="Arial" w:cs="Arial"/>
        </w:rPr>
      </w:pPr>
    </w:p>
    <w:p w14:paraId="000000B6" w14:textId="77777777" w:rsidR="009D7C1F" w:rsidRDefault="00000000">
      <w:pPr>
        <w:jc w:val="both"/>
        <w:rPr>
          <w:rFonts w:ascii="Arial" w:eastAsia="Arial" w:hAnsi="Arial" w:cs="Arial"/>
        </w:rPr>
      </w:pPr>
      <w:r>
        <w:rPr>
          <w:rFonts w:ascii="Arial" w:eastAsia="Arial" w:hAnsi="Arial" w:cs="Arial"/>
        </w:rPr>
        <w:t>El indicador promedio ponderado anual ciudad, como su nombre indica y conforme se explicó en el punto 1 respecto a su forma de cálculo, es un indicador a nivel de ciudad, por lo tanto no es posible desagregar este valor por estación o por localidad.</w:t>
      </w:r>
    </w:p>
    <w:p w14:paraId="000000B7" w14:textId="77777777" w:rsidR="009D7C1F" w:rsidRDefault="009D7C1F">
      <w:pPr>
        <w:jc w:val="both"/>
        <w:rPr>
          <w:rFonts w:ascii="Arial" w:eastAsia="Arial" w:hAnsi="Arial" w:cs="Arial"/>
        </w:rPr>
      </w:pPr>
    </w:p>
    <w:p w14:paraId="000000B8" w14:textId="77777777" w:rsidR="009D7C1F" w:rsidRDefault="00000000">
      <w:pPr>
        <w:jc w:val="both"/>
        <w:rPr>
          <w:rFonts w:ascii="Arial" w:eastAsia="Arial" w:hAnsi="Arial" w:cs="Arial"/>
        </w:rPr>
      </w:pPr>
      <w:r>
        <w:rPr>
          <w:rFonts w:ascii="Arial" w:eastAsia="Arial" w:hAnsi="Arial" w:cs="Arial"/>
        </w:rPr>
        <w:t>A nivel de estaciones, lo que normalmente se calcula son los promedios anuales de concentración en µg/m3, los cuales junto con el porcentaje de datos válidos se muestran a continuación:</w:t>
      </w:r>
    </w:p>
    <w:p w14:paraId="000000B9" w14:textId="77777777" w:rsidR="009D7C1F" w:rsidRDefault="009D7C1F">
      <w:pPr>
        <w:jc w:val="both"/>
        <w:rPr>
          <w:rFonts w:ascii="Arial" w:eastAsia="Arial" w:hAnsi="Arial" w:cs="Arial"/>
        </w:rPr>
      </w:pPr>
    </w:p>
    <w:p w14:paraId="000000BA" w14:textId="77777777" w:rsidR="009D7C1F" w:rsidRDefault="009D7C1F">
      <w:pPr>
        <w:jc w:val="both"/>
        <w:rPr>
          <w:rFonts w:ascii="Arial" w:eastAsia="Arial" w:hAnsi="Arial" w:cs="Arial"/>
        </w:rPr>
      </w:pPr>
    </w:p>
    <w:tbl>
      <w:tblPr>
        <w:tblStyle w:val="a0"/>
        <w:tblW w:w="5445" w:type="dxa"/>
        <w:tblInd w:w="1" w:type="dxa"/>
        <w:tblBorders>
          <w:top w:val="nil"/>
          <w:left w:val="nil"/>
          <w:bottom w:val="nil"/>
          <w:right w:val="nil"/>
          <w:insideH w:val="nil"/>
          <w:insideV w:val="nil"/>
        </w:tblBorders>
        <w:tblLayout w:type="fixed"/>
        <w:tblLook w:val="0600" w:firstRow="0" w:lastRow="0" w:firstColumn="0" w:lastColumn="0" w:noHBand="1" w:noVBand="1"/>
      </w:tblPr>
      <w:tblGrid>
        <w:gridCol w:w="2460"/>
        <w:gridCol w:w="1260"/>
        <w:gridCol w:w="1725"/>
      </w:tblGrid>
      <w:tr w:rsidR="009D7C1F" w14:paraId="3E5F13F6" w14:textId="77777777">
        <w:trPr>
          <w:trHeight w:val="300"/>
        </w:trPr>
        <w:tc>
          <w:tcPr>
            <w:tcW w:w="2460" w:type="dxa"/>
            <w:tcBorders>
              <w:top w:val="single" w:sz="5" w:space="0" w:color="000000"/>
              <w:left w:val="single" w:sz="5" w:space="0" w:color="000000"/>
              <w:bottom w:val="single" w:sz="5" w:space="0" w:color="000000"/>
              <w:right w:val="single" w:sz="5" w:space="0" w:color="000000"/>
            </w:tcBorders>
            <w:shd w:val="clear" w:color="auto" w:fill="A9D08E"/>
            <w:tcMar>
              <w:top w:w="0" w:type="dxa"/>
              <w:left w:w="80" w:type="dxa"/>
              <w:bottom w:w="0" w:type="dxa"/>
              <w:right w:w="80" w:type="dxa"/>
            </w:tcMar>
            <w:vAlign w:val="bottom"/>
          </w:tcPr>
          <w:p w14:paraId="000000BB" w14:textId="77777777" w:rsidR="009D7C1F" w:rsidRDefault="00000000">
            <w:pPr>
              <w:spacing w:line="276" w:lineRule="auto"/>
              <w:jc w:val="center"/>
              <w:rPr>
                <w:rFonts w:ascii="Arial" w:eastAsia="Arial" w:hAnsi="Arial" w:cs="Arial"/>
                <w:b/>
                <w:bCs/>
                <w:sz w:val="18"/>
                <w:szCs w:val="18"/>
              </w:rPr>
            </w:pPr>
            <w:r>
              <w:rPr>
                <w:rFonts w:ascii="Arial" w:eastAsia="Arial" w:hAnsi="Arial" w:cs="Arial"/>
                <w:b/>
                <w:bCs/>
                <w:sz w:val="18"/>
                <w:szCs w:val="18"/>
              </w:rPr>
              <w:t>Estación</w:t>
            </w:r>
          </w:p>
        </w:tc>
        <w:tc>
          <w:tcPr>
            <w:tcW w:w="1260" w:type="dxa"/>
            <w:tcBorders>
              <w:top w:val="single" w:sz="5" w:space="0" w:color="000000"/>
              <w:left w:val="nil"/>
              <w:bottom w:val="single" w:sz="5" w:space="0" w:color="000000"/>
              <w:right w:val="single" w:sz="5" w:space="0" w:color="000000"/>
            </w:tcBorders>
            <w:shd w:val="clear" w:color="auto" w:fill="A9D08E"/>
            <w:tcMar>
              <w:top w:w="0" w:type="dxa"/>
              <w:left w:w="80" w:type="dxa"/>
              <w:bottom w:w="0" w:type="dxa"/>
              <w:right w:w="80" w:type="dxa"/>
            </w:tcMar>
            <w:vAlign w:val="bottom"/>
          </w:tcPr>
          <w:p w14:paraId="000000BC" w14:textId="77777777" w:rsidR="009D7C1F" w:rsidRDefault="00000000">
            <w:pPr>
              <w:spacing w:line="276" w:lineRule="auto"/>
              <w:jc w:val="center"/>
              <w:rPr>
                <w:rFonts w:ascii="Arial" w:eastAsia="Arial" w:hAnsi="Arial" w:cs="Arial"/>
                <w:b/>
                <w:bCs/>
                <w:sz w:val="18"/>
                <w:szCs w:val="18"/>
              </w:rPr>
            </w:pPr>
            <w:r>
              <w:rPr>
                <w:rFonts w:ascii="Arial" w:eastAsia="Arial" w:hAnsi="Arial" w:cs="Arial"/>
                <w:b/>
                <w:bCs/>
                <w:sz w:val="18"/>
                <w:szCs w:val="18"/>
              </w:rPr>
              <w:t>Promedio anual</w:t>
            </w:r>
          </w:p>
        </w:tc>
        <w:tc>
          <w:tcPr>
            <w:tcW w:w="1725" w:type="dxa"/>
            <w:tcBorders>
              <w:top w:val="single" w:sz="5" w:space="0" w:color="000000"/>
              <w:left w:val="nil"/>
              <w:bottom w:val="single" w:sz="5" w:space="0" w:color="000000"/>
              <w:right w:val="single" w:sz="5" w:space="0" w:color="000000"/>
            </w:tcBorders>
            <w:shd w:val="clear" w:color="auto" w:fill="A9D08E"/>
            <w:tcMar>
              <w:top w:w="0" w:type="dxa"/>
              <w:left w:w="80" w:type="dxa"/>
              <w:bottom w:w="0" w:type="dxa"/>
              <w:right w:w="80" w:type="dxa"/>
            </w:tcMar>
            <w:vAlign w:val="bottom"/>
          </w:tcPr>
          <w:p w14:paraId="000000BD" w14:textId="77777777" w:rsidR="009D7C1F" w:rsidRDefault="00000000">
            <w:pPr>
              <w:spacing w:line="276" w:lineRule="auto"/>
              <w:jc w:val="both"/>
              <w:rPr>
                <w:rFonts w:ascii="Arial" w:eastAsia="Arial" w:hAnsi="Arial" w:cs="Arial"/>
                <w:b/>
                <w:bCs/>
                <w:sz w:val="18"/>
                <w:szCs w:val="18"/>
              </w:rPr>
            </w:pPr>
            <w:r>
              <w:rPr>
                <w:rFonts w:ascii="Arial" w:eastAsia="Arial" w:hAnsi="Arial" w:cs="Arial"/>
                <w:b/>
                <w:bCs/>
                <w:sz w:val="20"/>
                <w:szCs w:val="20"/>
              </w:rPr>
              <w:t>Datos válidos (%)</w:t>
            </w:r>
          </w:p>
        </w:tc>
      </w:tr>
      <w:tr w:rsidR="009D7C1F" w14:paraId="608DA28D" w14:textId="77777777">
        <w:trPr>
          <w:trHeight w:val="300"/>
        </w:trPr>
        <w:tc>
          <w:tcPr>
            <w:tcW w:w="2460" w:type="dxa"/>
            <w:tcBorders>
              <w:top w:val="nil"/>
              <w:left w:val="single" w:sz="5" w:space="0" w:color="000000"/>
              <w:bottom w:val="single" w:sz="5" w:space="0" w:color="000000"/>
              <w:right w:val="single" w:sz="5" w:space="0" w:color="000000"/>
            </w:tcBorders>
            <w:tcMar>
              <w:top w:w="0" w:type="dxa"/>
              <w:left w:w="80" w:type="dxa"/>
              <w:bottom w:w="0" w:type="dxa"/>
              <w:right w:w="80" w:type="dxa"/>
            </w:tcMar>
            <w:vAlign w:val="bottom"/>
          </w:tcPr>
          <w:p w14:paraId="000000BE" w14:textId="77777777" w:rsidR="009D7C1F" w:rsidRDefault="00000000">
            <w:pPr>
              <w:spacing w:line="276" w:lineRule="auto"/>
              <w:jc w:val="center"/>
              <w:rPr>
                <w:rFonts w:ascii="Arial Narrow" w:eastAsia="Arial Narrow" w:hAnsi="Arial Narrow" w:cs="Arial Narrow"/>
                <w:sz w:val="20"/>
                <w:szCs w:val="20"/>
              </w:rPr>
            </w:pPr>
            <w:r>
              <w:rPr>
                <w:rFonts w:ascii="Arial Narrow" w:eastAsia="Arial Narrow" w:hAnsi="Arial Narrow" w:cs="Arial Narrow"/>
                <w:sz w:val="20"/>
                <w:szCs w:val="20"/>
              </w:rPr>
              <w:t>Bolivia</w:t>
            </w:r>
          </w:p>
        </w:tc>
        <w:tc>
          <w:tcPr>
            <w:tcW w:w="1260" w:type="dxa"/>
            <w:tcBorders>
              <w:top w:val="nil"/>
              <w:left w:val="nil"/>
              <w:bottom w:val="single" w:sz="5" w:space="0" w:color="000000"/>
              <w:right w:val="single" w:sz="5" w:space="0" w:color="000000"/>
            </w:tcBorders>
            <w:tcMar>
              <w:top w:w="0" w:type="dxa"/>
              <w:left w:w="80" w:type="dxa"/>
              <w:bottom w:w="0" w:type="dxa"/>
              <w:right w:w="80" w:type="dxa"/>
            </w:tcMar>
            <w:vAlign w:val="bottom"/>
          </w:tcPr>
          <w:p w14:paraId="000000BF" w14:textId="77777777" w:rsidR="009D7C1F" w:rsidRDefault="00000000">
            <w:pPr>
              <w:spacing w:line="276" w:lineRule="auto"/>
              <w:jc w:val="center"/>
              <w:rPr>
                <w:rFonts w:ascii="Arial" w:eastAsia="Arial" w:hAnsi="Arial" w:cs="Arial"/>
                <w:sz w:val="20"/>
                <w:szCs w:val="20"/>
              </w:rPr>
            </w:pPr>
            <w:r>
              <w:rPr>
                <w:rFonts w:ascii="Arial" w:eastAsia="Arial" w:hAnsi="Arial" w:cs="Arial"/>
                <w:sz w:val="20"/>
                <w:szCs w:val="20"/>
              </w:rPr>
              <w:t>10,3</w:t>
            </w:r>
          </w:p>
        </w:tc>
        <w:tc>
          <w:tcPr>
            <w:tcW w:w="1725" w:type="dxa"/>
            <w:tcBorders>
              <w:top w:val="nil"/>
              <w:left w:val="nil"/>
              <w:bottom w:val="single" w:sz="5" w:space="0" w:color="000000"/>
              <w:right w:val="single" w:sz="5" w:space="0" w:color="000000"/>
            </w:tcBorders>
            <w:tcMar>
              <w:top w:w="0" w:type="dxa"/>
              <w:left w:w="80" w:type="dxa"/>
              <w:bottom w:w="0" w:type="dxa"/>
              <w:right w:w="80" w:type="dxa"/>
            </w:tcMar>
            <w:vAlign w:val="bottom"/>
          </w:tcPr>
          <w:p w14:paraId="000000C0" w14:textId="77777777" w:rsidR="009D7C1F" w:rsidRDefault="00000000">
            <w:pPr>
              <w:spacing w:line="276" w:lineRule="auto"/>
              <w:jc w:val="center"/>
              <w:rPr>
                <w:rFonts w:ascii="Arial" w:eastAsia="Arial" w:hAnsi="Arial" w:cs="Arial"/>
                <w:sz w:val="20"/>
                <w:szCs w:val="20"/>
              </w:rPr>
            </w:pPr>
            <w:r>
              <w:rPr>
                <w:rFonts w:ascii="Arial" w:eastAsia="Arial" w:hAnsi="Arial" w:cs="Arial"/>
                <w:sz w:val="20"/>
                <w:szCs w:val="20"/>
              </w:rPr>
              <w:t>93%</w:t>
            </w:r>
          </w:p>
        </w:tc>
      </w:tr>
      <w:tr w:rsidR="009D7C1F" w14:paraId="34A1E16D" w14:textId="77777777">
        <w:trPr>
          <w:trHeight w:val="300"/>
        </w:trPr>
        <w:tc>
          <w:tcPr>
            <w:tcW w:w="2460" w:type="dxa"/>
            <w:tcBorders>
              <w:top w:val="nil"/>
              <w:left w:val="single" w:sz="5" w:space="0" w:color="000000"/>
              <w:bottom w:val="single" w:sz="5" w:space="0" w:color="000000"/>
              <w:right w:val="single" w:sz="5" w:space="0" w:color="000000"/>
            </w:tcBorders>
            <w:tcMar>
              <w:top w:w="0" w:type="dxa"/>
              <w:left w:w="80" w:type="dxa"/>
              <w:bottom w:w="0" w:type="dxa"/>
              <w:right w:w="80" w:type="dxa"/>
            </w:tcMar>
            <w:vAlign w:val="bottom"/>
          </w:tcPr>
          <w:p w14:paraId="000000C1" w14:textId="77777777" w:rsidR="009D7C1F" w:rsidRDefault="00000000">
            <w:pPr>
              <w:spacing w:line="276" w:lineRule="auto"/>
              <w:jc w:val="center"/>
              <w:rPr>
                <w:rFonts w:ascii="Arial Narrow" w:eastAsia="Arial Narrow" w:hAnsi="Arial Narrow" w:cs="Arial Narrow"/>
                <w:sz w:val="20"/>
                <w:szCs w:val="20"/>
              </w:rPr>
            </w:pPr>
            <w:r>
              <w:rPr>
                <w:rFonts w:ascii="Arial Narrow" w:eastAsia="Arial Narrow" w:hAnsi="Arial Narrow" w:cs="Arial Narrow"/>
                <w:sz w:val="20"/>
                <w:szCs w:val="20"/>
              </w:rPr>
              <w:t>Carvajal - Sevillana</w:t>
            </w:r>
          </w:p>
        </w:tc>
        <w:tc>
          <w:tcPr>
            <w:tcW w:w="1260" w:type="dxa"/>
            <w:tcBorders>
              <w:top w:val="nil"/>
              <w:left w:val="nil"/>
              <w:bottom w:val="single" w:sz="5" w:space="0" w:color="000000"/>
              <w:right w:val="single" w:sz="5" w:space="0" w:color="000000"/>
            </w:tcBorders>
            <w:tcMar>
              <w:top w:w="0" w:type="dxa"/>
              <w:left w:w="80" w:type="dxa"/>
              <w:bottom w:w="0" w:type="dxa"/>
              <w:right w:w="80" w:type="dxa"/>
            </w:tcMar>
            <w:vAlign w:val="bottom"/>
          </w:tcPr>
          <w:p w14:paraId="000000C2" w14:textId="77777777" w:rsidR="009D7C1F" w:rsidRDefault="00000000">
            <w:pPr>
              <w:spacing w:line="276" w:lineRule="auto"/>
              <w:jc w:val="center"/>
              <w:rPr>
                <w:rFonts w:ascii="Arial" w:eastAsia="Arial" w:hAnsi="Arial" w:cs="Arial"/>
                <w:sz w:val="20"/>
                <w:szCs w:val="20"/>
              </w:rPr>
            </w:pPr>
            <w:r>
              <w:rPr>
                <w:rFonts w:ascii="Arial" w:eastAsia="Arial" w:hAnsi="Arial" w:cs="Arial"/>
                <w:sz w:val="20"/>
                <w:szCs w:val="20"/>
              </w:rPr>
              <w:t>31,3</w:t>
            </w:r>
          </w:p>
        </w:tc>
        <w:tc>
          <w:tcPr>
            <w:tcW w:w="1725" w:type="dxa"/>
            <w:tcBorders>
              <w:top w:val="nil"/>
              <w:left w:val="nil"/>
              <w:bottom w:val="single" w:sz="5" w:space="0" w:color="000000"/>
              <w:right w:val="single" w:sz="5" w:space="0" w:color="000000"/>
            </w:tcBorders>
            <w:tcMar>
              <w:top w:w="0" w:type="dxa"/>
              <w:left w:w="80" w:type="dxa"/>
              <w:bottom w:w="0" w:type="dxa"/>
              <w:right w:w="80" w:type="dxa"/>
            </w:tcMar>
            <w:vAlign w:val="bottom"/>
          </w:tcPr>
          <w:p w14:paraId="000000C3" w14:textId="77777777" w:rsidR="009D7C1F" w:rsidRDefault="00000000">
            <w:pPr>
              <w:spacing w:line="276" w:lineRule="auto"/>
              <w:jc w:val="center"/>
              <w:rPr>
                <w:rFonts w:ascii="Arial" w:eastAsia="Arial" w:hAnsi="Arial" w:cs="Arial"/>
                <w:sz w:val="20"/>
                <w:szCs w:val="20"/>
              </w:rPr>
            </w:pPr>
            <w:r>
              <w:rPr>
                <w:rFonts w:ascii="Arial" w:eastAsia="Arial" w:hAnsi="Arial" w:cs="Arial"/>
                <w:sz w:val="20"/>
                <w:szCs w:val="20"/>
              </w:rPr>
              <w:t>96%</w:t>
            </w:r>
          </w:p>
        </w:tc>
      </w:tr>
      <w:tr w:rsidR="009D7C1F" w14:paraId="4151E325" w14:textId="77777777">
        <w:trPr>
          <w:trHeight w:val="315"/>
        </w:trPr>
        <w:tc>
          <w:tcPr>
            <w:tcW w:w="2460" w:type="dxa"/>
            <w:tcBorders>
              <w:top w:val="nil"/>
              <w:left w:val="single" w:sz="5" w:space="0" w:color="000000"/>
              <w:bottom w:val="single" w:sz="5" w:space="0" w:color="000000"/>
              <w:right w:val="single" w:sz="5" w:space="0" w:color="000000"/>
            </w:tcBorders>
            <w:tcMar>
              <w:top w:w="0" w:type="dxa"/>
              <w:left w:w="80" w:type="dxa"/>
              <w:bottom w:w="0" w:type="dxa"/>
              <w:right w:w="80" w:type="dxa"/>
            </w:tcMar>
            <w:vAlign w:val="bottom"/>
          </w:tcPr>
          <w:p w14:paraId="000000C4" w14:textId="77777777" w:rsidR="009D7C1F" w:rsidRDefault="00000000">
            <w:pPr>
              <w:spacing w:line="276" w:lineRule="auto"/>
              <w:jc w:val="center"/>
              <w:rPr>
                <w:rFonts w:ascii="Arial Narrow" w:eastAsia="Arial Narrow" w:hAnsi="Arial Narrow" w:cs="Arial Narrow"/>
                <w:sz w:val="20"/>
                <w:szCs w:val="20"/>
              </w:rPr>
            </w:pPr>
            <w:r>
              <w:rPr>
                <w:rFonts w:ascii="Arial Narrow" w:eastAsia="Arial Narrow" w:hAnsi="Arial Narrow" w:cs="Arial Narrow"/>
                <w:sz w:val="20"/>
                <w:szCs w:val="20"/>
              </w:rPr>
              <w:t>Centro de Alto Rendimiento</w:t>
            </w:r>
          </w:p>
        </w:tc>
        <w:tc>
          <w:tcPr>
            <w:tcW w:w="1260" w:type="dxa"/>
            <w:tcBorders>
              <w:top w:val="nil"/>
              <w:left w:val="nil"/>
              <w:bottom w:val="single" w:sz="5" w:space="0" w:color="000000"/>
              <w:right w:val="single" w:sz="5" w:space="0" w:color="000000"/>
            </w:tcBorders>
            <w:tcMar>
              <w:top w:w="0" w:type="dxa"/>
              <w:left w:w="80" w:type="dxa"/>
              <w:bottom w:w="0" w:type="dxa"/>
              <w:right w:w="80" w:type="dxa"/>
            </w:tcMar>
            <w:vAlign w:val="bottom"/>
          </w:tcPr>
          <w:p w14:paraId="000000C5" w14:textId="77777777" w:rsidR="009D7C1F" w:rsidRDefault="00000000">
            <w:pPr>
              <w:spacing w:line="276" w:lineRule="auto"/>
              <w:jc w:val="center"/>
              <w:rPr>
                <w:rFonts w:ascii="Arial" w:eastAsia="Arial" w:hAnsi="Arial" w:cs="Arial"/>
                <w:sz w:val="20"/>
                <w:szCs w:val="20"/>
              </w:rPr>
            </w:pPr>
            <w:r>
              <w:rPr>
                <w:rFonts w:ascii="Arial" w:eastAsia="Arial" w:hAnsi="Arial" w:cs="Arial"/>
                <w:sz w:val="20"/>
                <w:szCs w:val="20"/>
              </w:rPr>
              <w:t>10,8</w:t>
            </w:r>
          </w:p>
        </w:tc>
        <w:tc>
          <w:tcPr>
            <w:tcW w:w="1725" w:type="dxa"/>
            <w:tcBorders>
              <w:top w:val="nil"/>
              <w:left w:val="nil"/>
              <w:bottom w:val="single" w:sz="5" w:space="0" w:color="000000"/>
              <w:right w:val="single" w:sz="5" w:space="0" w:color="000000"/>
            </w:tcBorders>
            <w:tcMar>
              <w:top w:w="0" w:type="dxa"/>
              <w:left w:w="80" w:type="dxa"/>
              <w:bottom w:w="0" w:type="dxa"/>
              <w:right w:w="80" w:type="dxa"/>
            </w:tcMar>
            <w:vAlign w:val="bottom"/>
          </w:tcPr>
          <w:p w14:paraId="000000C6" w14:textId="77777777" w:rsidR="009D7C1F" w:rsidRDefault="00000000">
            <w:pPr>
              <w:spacing w:line="276" w:lineRule="auto"/>
              <w:jc w:val="center"/>
              <w:rPr>
                <w:rFonts w:ascii="Arial" w:eastAsia="Arial" w:hAnsi="Arial" w:cs="Arial"/>
                <w:sz w:val="20"/>
                <w:szCs w:val="20"/>
              </w:rPr>
            </w:pPr>
            <w:r>
              <w:rPr>
                <w:rFonts w:ascii="Arial" w:eastAsia="Arial" w:hAnsi="Arial" w:cs="Arial"/>
                <w:sz w:val="20"/>
                <w:szCs w:val="20"/>
              </w:rPr>
              <w:t>94%</w:t>
            </w:r>
          </w:p>
        </w:tc>
      </w:tr>
      <w:tr w:rsidR="009D7C1F" w14:paraId="7D83E664" w14:textId="77777777">
        <w:trPr>
          <w:trHeight w:val="300"/>
        </w:trPr>
        <w:tc>
          <w:tcPr>
            <w:tcW w:w="2460" w:type="dxa"/>
            <w:tcBorders>
              <w:top w:val="nil"/>
              <w:left w:val="single" w:sz="5" w:space="0" w:color="000000"/>
              <w:bottom w:val="single" w:sz="5" w:space="0" w:color="000000"/>
              <w:right w:val="single" w:sz="5" w:space="0" w:color="000000"/>
            </w:tcBorders>
            <w:tcMar>
              <w:top w:w="0" w:type="dxa"/>
              <w:left w:w="80" w:type="dxa"/>
              <w:bottom w:w="0" w:type="dxa"/>
              <w:right w:w="80" w:type="dxa"/>
            </w:tcMar>
            <w:vAlign w:val="bottom"/>
          </w:tcPr>
          <w:p w14:paraId="000000C7" w14:textId="77777777" w:rsidR="009D7C1F" w:rsidRDefault="00000000">
            <w:pPr>
              <w:spacing w:line="276" w:lineRule="auto"/>
              <w:jc w:val="center"/>
              <w:rPr>
                <w:rFonts w:ascii="Arial Narrow" w:eastAsia="Arial Narrow" w:hAnsi="Arial Narrow" w:cs="Arial Narrow"/>
                <w:sz w:val="20"/>
                <w:szCs w:val="20"/>
              </w:rPr>
            </w:pPr>
            <w:r>
              <w:rPr>
                <w:rFonts w:ascii="Arial Narrow" w:eastAsia="Arial Narrow" w:hAnsi="Arial Narrow" w:cs="Arial Narrow"/>
                <w:sz w:val="20"/>
                <w:szCs w:val="20"/>
              </w:rPr>
              <w:t>Ciudad Bolivar</w:t>
            </w:r>
          </w:p>
        </w:tc>
        <w:tc>
          <w:tcPr>
            <w:tcW w:w="1260" w:type="dxa"/>
            <w:tcBorders>
              <w:top w:val="nil"/>
              <w:left w:val="nil"/>
              <w:bottom w:val="single" w:sz="5" w:space="0" w:color="000000"/>
              <w:right w:val="single" w:sz="5" w:space="0" w:color="000000"/>
            </w:tcBorders>
            <w:tcMar>
              <w:top w:w="0" w:type="dxa"/>
              <w:left w:w="80" w:type="dxa"/>
              <w:bottom w:w="0" w:type="dxa"/>
              <w:right w:w="80" w:type="dxa"/>
            </w:tcMar>
            <w:vAlign w:val="bottom"/>
          </w:tcPr>
          <w:p w14:paraId="000000C8" w14:textId="77777777" w:rsidR="009D7C1F" w:rsidRDefault="00000000">
            <w:pPr>
              <w:spacing w:line="276" w:lineRule="auto"/>
              <w:jc w:val="center"/>
              <w:rPr>
                <w:rFonts w:ascii="Arial" w:eastAsia="Arial" w:hAnsi="Arial" w:cs="Arial"/>
                <w:sz w:val="20"/>
                <w:szCs w:val="20"/>
              </w:rPr>
            </w:pPr>
            <w:r>
              <w:rPr>
                <w:rFonts w:ascii="Arial" w:eastAsia="Arial" w:hAnsi="Arial" w:cs="Arial"/>
                <w:sz w:val="20"/>
                <w:szCs w:val="20"/>
              </w:rPr>
              <w:t>13,3</w:t>
            </w:r>
          </w:p>
        </w:tc>
        <w:tc>
          <w:tcPr>
            <w:tcW w:w="1725" w:type="dxa"/>
            <w:tcBorders>
              <w:top w:val="nil"/>
              <w:left w:val="nil"/>
              <w:bottom w:val="single" w:sz="5" w:space="0" w:color="000000"/>
              <w:right w:val="single" w:sz="5" w:space="0" w:color="000000"/>
            </w:tcBorders>
            <w:tcMar>
              <w:top w:w="0" w:type="dxa"/>
              <w:left w:w="80" w:type="dxa"/>
              <w:bottom w:w="0" w:type="dxa"/>
              <w:right w:w="80" w:type="dxa"/>
            </w:tcMar>
            <w:vAlign w:val="bottom"/>
          </w:tcPr>
          <w:p w14:paraId="000000C9" w14:textId="77777777" w:rsidR="009D7C1F" w:rsidRDefault="00000000">
            <w:pPr>
              <w:spacing w:line="276" w:lineRule="auto"/>
              <w:jc w:val="center"/>
              <w:rPr>
                <w:rFonts w:ascii="Arial" w:eastAsia="Arial" w:hAnsi="Arial" w:cs="Arial"/>
                <w:sz w:val="20"/>
                <w:szCs w:val="20"/>
              </w:rPr>
            </w:pPr>
            <w:r>
              <w:rPr>
                <w:rFonts w:ascii="Arial" w:eastAsia="Arial" w:hAnsi="Arial" w:cs="Arial"/>
                <w:sz w:val="20"/>
                <w:szCs w:val="20"/>
              </w:rPr>
              <w:t>99%</w:t>
            </w:r>
          </w:p>
        </w:tc>
      </w:tr>
      <w:tr w:rsidR="009D7C1F" w14:paraId="482A965E" w14:textId="77777777">
        <w:trPr>
          <w:trHeight w:val="300"/>
        </w:trPr>
        <w:tc>
          <w:tcPr>
            <w:tcW w:w="2460" w:type="dxa"/>
            <w:tcBorders>
              <w:top w:val="nil"/>
              <w:left w:val="single" w:sz="5" w:space="0" w:color="000000"/>
              <w:bottom w:val="single" w:sz="5" w:space="0" w:color="000000"/>
              <w:right w:val="single" w:sz="5" w:space="0" w:color="000000"/>
            </w:tcBorders>
            <w:tcMar>
              <w:top w:w="0" w:type="dxa"/>
              <w:left w:w="80" w:type="dxa"/>
              <w:bottom w:w="0" w:type="dxa"/>
              <w:right w:w="80" w:type="dxa"/>
            </w:tcMar>
            <w:vAlign w:val="bottom"/>
          </w:tcPr>
          <w:p w14:paraId="000000CA" w14:textId="77777777" w:rsidR="009D7C1F" w:rsidRDefault="00000000">
            <w:pPr>
              <w:spacing w:line="276" w:lineRule="auto"/>
              <w:jc w:val="center"/>
              <w:rPr>
                <w:rFonts w:ascii="Arial Narrow" w:eastAsia="Arial Narrow" w:hAnsi="Arial Narrow" w:cs="Arial Narrow"/>
                <w:sz w:val="20"/>
                <w:szCs w:val="20"/>
              </w:rPr>
            </w:pPr>
            <w:r>
              <w:rPr>
                <w:rFonts w:ascii="Arial Narrow" w:eastAsia="Arial Narrow" w:hAnsi="Arial Narrow" w:cs="Arial Narrow"/>
                <w:sz w:val="20"/>
                <w:szCs w:val="20"/>
              </w:rPr>
              <w:t>Colina</w:t>
            </w:r>
          </w:p>
        </w:tc>
        <w:tc>
          <w:tcPr>
            <w:tcW w:w="1260" w:type="dxa"/>
            <w:tcBorders>
              <w:top w:val="nil"/>
              <w:left w:val="nil"/>
              <w:bottom w:val="single" w:sz="5" w:space="0" w:color="000000"/>
              <w:right w:val="single" w:sz="5" w:space="0" w:color="000000"/>
            </w:tcBorders>
            <w:tcMar>
              <w:top w:w="0" w:type="dxa"/>
              <w:left w:w="80" w:type="dxa"/>
              <w:bottom w:w="0" w:type="dxa"/>
              <w:right w:w="80" w:type="dxa"/>
            </w:tcMar>
            <w:vAlign w:val="bottom"/>
          </w:tcPr>
          <w:p w14:paraId="000000CB" w14:textId="77777777" w:rsidR="009D7C1F" w:rsidRDefault="00000000">
            <w:pPr>
              <w:spacing w:line="276" w:lineRule="auto"/>
              <w:jc w:val="center"/>
              <w:rPr>
                <w:rFonts w:ascii="Arial" w:eastAsia="Arial" w:hAnsi="Arial" w:cs="Arial"/>
                <w:sz w:val="20"/>
                <w:szCs w:val="20"/>
              </w:rPr>
            </w:pPr>
            <w:r>
              <w:rPr>
                <w:rFonts w:ascii="Arial" w:eastAsia="Arial" w:hAnsi="Arial" w:cs="Arial"/>
                <w:sz w:val="20"/>
                <w:szCs w:val="20"/>
              </w:rPr>
              <w:t>8,3</w:t>
            </w:r>
          </w:p>
        </w:tc>
        <w:tc>
          <w:tcPr>
            <w:tcW w:w="1725" w:type="dxa"/>
            <w:tcBorders>
              <w:top w:val="nil"/>
              <w:left w:val="nil"/>
              <w:bottom w:val="single" w:sz="5" w:space="0" w:color="000000"/>
              <w:right w:val="single" w:sz="5" w:space="0" w:color="000000"/>
            </w:tcBorders>
            <w:tcMar>
              <w:top w:w="0" w:type="dxa"/>
              <w:left w:w="80" w:type="dxa"/>
              <w:bottom w:w="0" w:type="dxa"/>
              <w:right w:w="80" w:type="dxa"/>
            </w:tcMar>
            <w:vAlign w:val="bottom"/>
          </w:tcPr>
          <w:p w14:paraId="000000CC" w14:textId="77777777" w:rsidR="009D7C1F" w:rsidRDefault="00000000">
            <w:pPr>
              <w:spacing w:line="276" w:lineRule="auto"/>
              <w:jc w:val="center"/>
              <w:rPr>
                <w:rFonts w:ascii="Arial" w:eastAsia="Arial" w:hAnsi="Arial" w:cs="Arial"/>
                <w:sz w:val="20"/>
                <w:szCs w:val="20"/>
              </w:rPr>
            </w:pPr>
            <w:r>
              <w:rPr>
                <w:rFonts w:ascii="Arial" w:eastAsia="Arial" w:hAnsi="Arial" w:cs="Arial"/>
                <w:sz w:val="20"/>
                <w:szCs w:val="20"/>
              </w:rPr>
              <w:t>75%</w:t>
            </w:r>
          </w:p>
        </w:tc>
      </w:tr>
      <w:tr w:rsidR="009D7C1F" w14:paraId="24D780B9" w14:textId="77777777">
        <w:trPr>
          <w:trHeight w:val="300"/>
        </w:trPr>
        <w:tc>
          <w:tcPr>
            <w:tcW w:w="2460" w:type="dxa"/>
            <w:tcBorders>
              <w:top w:val="nil"/>
              <w:left w:val="single" w:sz="5" w:space="0" w:color="000000"/>
              <w:bottom w:val="single" w:sz="5" w:space="0" w:color="000000"/>
              <w:right w:val="single" w:sz="5" w:space="0" w:color="000000"/>
            </w:tcBorders>
            <w:tcMar>
              <w:top w:w="0" w:type="dxa"/>
              <w:left w:w="80" w:type="dxa"/>
              <w:bottom w:w="0" w:type="dxa"/>
              <w:right w:w="80" w:type="dxa"/>
            </w:tcMar>
            <w:vAlign w:val="bottom"/>
          </w:tcPr>
          <w:p w14:paraId="000000CD" w14:textId="77777777" w:rsidR="009D7C1F" w:rsidRDefault="00000000">
            <w:pPr>
              <w:spacing w:line="276" w:lineRule="auto"/>
              <w:jc w:val="center"/>
              <w:rPr>
                <w:rFonts w:ascii="Arial Narrow" w:eastAsia="Arial Narrow" w:hAnsi="Arial Narrow" w:cs="Arial Narrow"/>
                <w:sz w:val="20"/>
                <w:szCs w:val="20"/>
              </w:rPr>
            </w:pPr>
            <w:r>
              <w:rPr>
                <w:rFonts w:ascii="Arial Narrow" w:eastAsia="Arial Narrow" w:hAnsi="Arial Narrow" w:cs="Arial Narrow"/>
                <w:sz w:val="20"/>
                <w:szCs w:val="20"/>
              </w:rPr>
              <w:t>Fontibon</w:t>
            </w:r>
          </w:p>
        </w:tc>
        <w:tc>
          <w:tcPr>
            <w:tcW w:w="1260" w:type="dxa"/>
            <w:tcBorders>
              <w:top w:val="nil"/>
              <w:left w:val="nil"/>
              <w:bottom w:val="single" w:sz="5" w:space="0" w:color="000000"/>
              <w:right w:val="single" w:sz="5" w:space="0" w:color="000000"/>
            </w:tcBorders>
            <w:tcMar>
              <w:top w:w="0" w:type="dxa"/>
              <w:left w:w="80" w:type="dxa"/>
              <w:bottom w:w="0" w:type="dxa"/>
              <w:right w:w="80" w:type="dxa"/>
            </w:tcMar>
            <w:vAlign w:val="bottom"/>
          </w:tcPr>
          <w:p w14:paraId="000000CE" w14:textId="77777777" w:rsidR="009D7C1F" w:rsidRDefault="00000000">
            <w:pPr>
              <w:spacing w:line="276" w:lineRule="auto"/>
              <w:jc w:val="center"/>
              <w:rPr>
                <w:rFonts w:ascii="Arial" w:eastAsia="Arial" w:hAnsi="Arial" w:cs="Arial"/>
                <w:sz w:val="20"/>
                <w:szCs w:val="20"/>
              </w:rPr>
            </w:pPr>
            <w:r>
              <w:rPr>
                <w:rFonts w:ascii="Arial" w:eastAsia="Arial" w:hAnsi="Arial" w:cs="Arial"/>
                <w:sz w:val="20"/>
                <w:szCs w:val="20"/>
              </w:rPr>
              <w:t>17,2</w:t>
            </w:r>
          </w:p>
        </w:tc>
        <w:tc>
          <w:tcPr>
            <w:tcW w:w="1725" w:type="dxa"/>
            <w:tcBorders>
              <w:top w:val="nil"/>
              <w:left w:val="nil"/>
              <w:bottom w:val="single" w:sz="5" w:space="0" w:color="000000"/>
              <w:right w:val="single" w:sz="5" w:space="0" w:color="000000"/>
            </w:tcBorders>
            <w:tcMar>
              <w:top w:w="0" w:type="dxa"/>
              <w:left w:w="80" w:type="dxa"/>
              <w:bottom w:w="0" w:type="dxa"/>
              <w:right w:w="80" w:type="dxa"/>
            </w:tcMar>
            <w:vAlign w:val="bottom"/>
          </w:tcPr>
          <w:p w14:paraId="000000CF" w14:textId="77777777" w:rsidR="009D7C1F" w:rsidRDefault="00000000">
            <w:pPr>
              <w:spacing w:line="276" w:lineRule="auto"/>
              <w:jc w:val="center"/>
              <w:rPr>
                <w:rFonts w:ascii="Arial" w:eastAsia="Arial" w:hAnsi="Arial" w:cs="Arial"/>
                <w:sz w:val="20"/>
                <w:szCs w:val="20"/>
              </w:rPr>
            </w:pPr>
            <w:r>
              <w:rPr>
                <w:rFonts w:ascii="Arial" w:eastAsia="Arial" w:hAnsi="Arial" w:cs="Arial"/>
                <w:sz w:val="20"/>
                <w:szCs w:val="20"/>
              </w:rPr>
              <w:t>98%</w:t>
            </w:r>
          </w:p>
        </w:tc>
      </w:tr>
      <w:tr w:rsidR="009D7C1F" w14:paraId="7A71F43F" w14:textId="77777777">
        <w:trPr>
          <w:trHeight w:val="300"/>
        </w:trPr>
        <w:tc>
          <w:tcPr>
            <w:tcW w:w="2460" w:type="dxa"/>
            <w:tcBorders>
              <w:top w:val="nil"/>
              <w:left w:val="single" w:sz="5" w:space="0" w:color="000000"/>
              <w:bottom w:val="single" w:sz="5" w:space="0" w:color="000000"/>
              <w:right w:val="single" w:sz="5" w:space="0" w:color="000000"/>
            </w:tcBorders>
            <w:tcMar>
              <w:top w:w="0" w:type="dxa"/>
              <w:left w:w="80" w:type="dxa"/>
              <w:bottom w:w="0" w:type="dxa"/>
              <w:right w:w="80" w:type="dxa"/>
            </w:tcMar>
            <w:vAlign w:val="bottom"/>
          </w:tcPr>
          <w:p w14:paraId="000000D0" w14:textId="77777777" w:rsidR="009D7C1F" w:rsidRDefault="00000000">
            <w:pPr>
              <w:spacing w:line="276" w:lineRule="auto"/>
              <w:jc w:val="center"/>
              <w:rPr>
                <w:rFonts w:ascii="Arial Narrow" w:eastAsia="Arial Narrow" w:hAnsi="Arial Narrow" w:cs="Arial Narrow"/>
                <w:sz w:val="20"/>
                <w:szCs w:val="20"/>
              </w:rPr>
            </w:pPr>
            <w:r>
              <w:rPr>
                <w:rFonts w:ascii="Arial Narrow" w:eastAsia="Arial Narrow" w:hAnsi="Arial Narrow" w:cs="Arial Narrow"/>
                <w:sz w:val="20"/>
                <w:szCs w:val="20"/>
              </w:rPr>
              <w:t>Guaymaral</w:t>
            </w:r>
          </w:p>
        </w:tc>
        <w:tc>
          <w:tcPr>
            <w:tcW w:w="1260" w:type="dxa"/>
            <w:tcBorders>
              <w:top w:val="nil"/>
              <w:left w:val="nil"/>
              <w:bottom w:val="single" w:sz="5" w:space="0" w:color="000000"/>
              <w:right w:val="single" w:sz="5" w:space="0" w:color="000000"/>
            </w:tcBorders>
            <w:tcMar>
              <w:top w:w="0" w:type="dxa"/>
              <w:left w:w="80" w:type="dxa"/>
              <w:bottom w:w="0" w:type="dxa"/>
              <w:right w:w="80" w:type="dxa"/>
            </w:tcMar>
            <w:vAlign w:val="bottom"/>
          </w:tcPr>
          <w:p w14:paraId="000000D1" w14:textId="77777777" w:rsidR="009D7C1F" w:rsidRDefault="00000000">
            <w:pPr>
              <w:spacing w:line="276" w:lineRule="auto"/>
              <w:jc w:val="center"/>
              <w:rPr>
                <w:rFonts w:ascii="Arial" w:eastAsia="Arial" w:hAnsi="Arial" w:cs="Arial"/>
                <w:sz w:val="20"/>
                <w:szCs w:val="20"/>
              </w:rPr>
            </w:pPr>
            <w:r>
              <w:rPr>
                <w:rFonts w:ascii="Arial" w:eastAsia="Arial" w:hAnsi="Arial" w:cs="Arial"/>
                <w:sz w:val="20"/>
                <w:szCs w:val="20"/>
              </w:rPr>
              <w:t>11,9</w:t>
            </w:r>
          </w:p>
        </w:tc>
        <w:tc>
          <w:tcPr>
            <w:tcW w:w="1725" w:type="dxa"/>
            <w:tcBorders>
              <w:top w:val="nil"/>
              <w:left w:val="nil"/>
              <w:bottom w:val="single" w:sz="5" w:space="0" w:color="000000"/>
              <w:right w:val="single" w:sz="5" w:space="0" w:color="000000"/>
            </w:tcBorders>
            <w:tcMar>
              <w:top w:w="0" w:type="dxa"/>
              <w:left w:w="80" w:type="dxa"/>
              <w:bottom w:w="0" w:type="dxa"/>
              <w:right w:w="80" w:type="dxa"/>
            </w:tcMar>
            <w:vAlign w:val="bottom"/>
          </w:tcPr>
          <w:p w14:paraId="000000D2" w14:textId="77777777" w:rsidR="009D7C1F" w:rsidRDefault="00000000">
            <w:pPr>
              <w:spacing w:line="276" w:lineRule="auto"/>
              <w:jc w:val="center"/>
              <w:rPr>
                <w:rFonts w:ascii="Arial" w:eastAsia="Arial" w:hAnsi="Arial" w:cs="Arial"/>
                <w:sz w:val="20"/>
                <w:szCs w:val="20"/>
              </w:rPr>
            </w:pPr>
            <w:r>
              <w:rPr>
                <w:rFonts w:ascii="Arial" w:eastAsia="Arial" w:hAnsi="Arial" w:cs="Arial"/>
                <w:sz w:val="20"/>
                <w:szCs w:val="20"/>
              </w:rPr>
              <w:t>87%</w:t>
            </w:r>
          </w:p>
        </w:tc>
      </w:tr>
      <w:tr w:rsidR="009D7C1F" w14:paraId="00B41A30" w14:textId="77777777">
        <w:trPr>
          <w:trHeight w:val="300"/>
        </w:trPr>
        <w:tc>
          <w:tcPr>
            <w:tcW w:w="2460" w:type="dxa"/>
            <w:tcBorders>
              <w:top w:val="nil"/>
              <w:left w:val="single" w:sz="5" w:space="0" w:color="000000"/>
              <w:bottom w:val="single" w:sz="5" w:space="0" w:color="000000"/>
              <w:right w:val="single" w:sz="5" w:space="0" w:color="000000"/>
            </w:tcBorders>
            <w:tcMar>
              <w:top w:w="0" w:type="dxa"/>
              <w:left w:w="80" w:type="dxa"/>
              <w:bottom w:w="0" w:type="dxa"/>
              <w:right w:w="80" w:type="dxa"/>
            </w:tcMar>
            <w:vAlign w:val="bottom"/>
          </w:tcPr>
          <w:p w14:paraId="000000D3" w14:textId="77777777" w:rsidR="009D7C1F" w:rsidRDefault="00000000">
            <w:pPr>
              <w:spacing w:line="276" w:lineRule="auto"/>
              <w:jc w:val="center"/>
              <w:rPr>
                <w:rFonts w:ascii="Arial Narrow" w:eastAsia="Arial Narrow" w:hAnsi="Arial Narrow" w:cs="Arial Narrow"/>
                <w:sz w:val="20"/>
                <w:szCs w:val="20"/>
              </w:rPr>
            </w:pPr>
            <w:r>
              <w:rPr>
                <w:rFonts w:ascii="Arial Narrow" w:eastAsia="Arial Narrow" w:hAnsi="Arial Narrow" w:cs="Arial Narrow"/>
                <w:sz w:val="20"/>
                <w:szCs w:val="20"/>
              </w:rPr>
              <w:t>Jazmin</w:t>
            </w:r>
          </w:p>
        </w:tc>
        <w:tc>
          <w:tcPr>
            <w:tcW w:w="1260" w:type="dxa"/>
            <w:tcBorders>
              <w:top w:val="nil"/>
              <w:left w:val="nil"/>
              <w:bottom w:val="single" w:sz="5" w:space="0" w:color="000000"/>
              <w:right w:val="single" w:sz="5" w:space="0" w:color="000000"/>
            </w:tcBorders>
            <w:tcMar>
              <w:top w:w="0" w:type="dxa"/>
              <w:left w:w="80" w:type="dxa"/>
              <w:bottom w:w="0" w:type="dxa"/>
              <w:right w:w="80" w:type="dxa"/>
            </w:tcMar>
            <w:vAlign w:val="bottom"/>
          </w:tcPr>
          <w:p w14:paraId="000000D4" w14:textId="77777777" w:rsidR="009D7C1F" w:rsidRDefault="00000000">
            <w:pPr>
              <w:spacing w:line="276" w:lineRule="auto"/>
              <w:jc w:val="center"/>
              <w:rPr>
                <w:rFonts w:ascii="Arial" w:eastAsia="Arial" w:hAnsi="Arial" w:cs="Arial"/>
                <w:sz w:val="20"/>
                <w:szCs w:val="20"/>
              </w:rPr>
            </w:pPr>
            <w:r>
              <w:rPr>
                <w:rFonts w:ascii="Arial" w:eastAsia="Arial" w:hAnsi="Arial" w:cs="Arial"/>
                <w:sz w:val="20"/>
                <w:szCs w:val="20"/>
              </w:rPr>
              <w:t>13,2</w:t>
            </w:r>
          </w:p>
        </w:tc>
        <w:tc>
          <w:tcPr>
            <w:tcW w:w="1725" w:type="dxa"/>
            <w:tcBorders>
              <w:top w:val="nil"/>
              <w:left w:val="nil"/>
              <w:bottom w:val="single" w:sz="5" w:space="0" w:color="000000"/>
              <w:right w:val="single" w:sz="5" w:space="0" w:color="000000"/>
            </w:tcBorders>
            <w:tcMar>
              <w:top w:w="0" w:type="dxa"/>
              <w:left w:w="80" w:type="dxa"/>
              <w:bottom w:w="0" w:type="dxa"/>
              <w:right w:w="80" w:type="dxa"/>
            </w:tcMar>
            <w:vAlign w:val="bottom"/>
          </w:tcPr>
          <w:p w14:paraId="000000D5" w14:textId="77777777" w:rsidR="009D7C1F" w:rsidRDefault="00000000">
            <w:pPr>
              <w:spacing w:line="276" w:lineRule="auto"/>
              <w:jc w:val="center"/>
              <w:rPr>
                <w:rFonts w:ascii="Arial" w:eastAsia="Arial" w:hAnsi="Arial" w:cs="Arial"/>
                <w:sz w:val="20"/>
                <w:szCs w:val="20"/>
              </w:rPr>
            </w:pPr>
            <w:r>
              <w:rPr>
                <w:rFonts w:ascii="Arial" w:eastAsia="Arial" w:hAnsi="Arial" w:cs="Arial"/>
                <w:sz w:val="20"/>
                <w:szCs w:val="20"/>
              </w:rPr>
              <w:t>97%</w:t>
            </w:r>
          </w:p>
        </w:tc>
      </w:tr>
      <w:tr w:rsidR="009D7C1F" w14:paraId="185D5C50" w14:textId="77777777">
        <w:trPr>
          <w:trHeight w:val="300"/>
        </w:trPr>
        <w:tc>
          <w:tcPr>
            <w:tcW w:w="2460" w:type="dxa"/>
            <w:tcBorders>
              <w:top w:val="nil"/>
              <w:left w:val="single" w:sz="5" w:space="0" w:color="000000"/>
              <w:bottom w:val="single" w:sz="5" w:space="0" w:color="000000"/>
              <w:right w:val="single" w:sz="5" w:space="0" w:color="000000"/>
            </w:tcBorders>
            <w:tcMar>
              <w:top w:w="0" w:type="dxa"/>
              <w:left w:w="80" w:type="dxa"/>
              <w:bottom w:w="0" w:type="dxa"/>
              <w:right w:w="80" w:type="dxa"/>
            </w:tcMar>
            <w:vAlign w:val="bottom"/>
          </w:tcPr>
          <w:p w14:paraId="000000D6" w14:textId="77777777" w:rsidR="009D7C1F" w:rsidRDefault="00000000">
            <w:pPr>
              <w:spacing w:line="276" w:lineRule="auto"/>
              <w:jc w:val="center"/>
              <w:rPr>
                <w:rFonts w:ascii="Arial Narrow" w:eastAsia="Arial Narrow" w:hAnsi="Arial Narrow" w:cs="Arial Narrow"/>
                <w:sz w:val="20"/>
                <w:szCs w:val="20"/>
              </w:rPr>
            </w:pPr>
            <w:r>
              <w:rPr>
                <w:rFonts w:ascii="Arial Narrow" w:eastAsia="Arial Narrow" w:hAnsi="Arial Narrow" w:cs="Arial Narrow"/>
                <w:sz w:val="20"/>
                <w:szCs w:val="20"/>
              </w:rPr>
              <w:t>Kennedy</w:t>
            </w:r>
          </w:p>
        </w:tc>
        <w:tc>
          <w:tcPr>
            <w:tcW w:w="1260" w:type="dxa"/>
            <w:tcBorders>
              <w:top w:val="nil"/>
              <w:left w:val="nil"/>
              <w:bottom w:val="single" w:sz="5" w:space="0" w:color="000000"/>
              <w:right w:val="single" w:sz="5" w:space="0" w:color="000000"/>
            </w:tcBorders>
            <w:tcMar>
              <w:top w:w="0" w:type="dxa"/>
              <w:left w:w="80" w:type="dxa"/>
              <w:bottom w:w="0" w:type="dxa"/>
              <w:right w:w="80" w:type="dxa"/>
            </w:tcMar>
            <w:vAlign w:val="bottom"/>
          </w:tcPr>
          <w:p w14:paraId="000000D7" w14:textId="77777777" w:rsidR="009D7C1F" w:rsidRDefault="00000000">
            <w:pPr>
              <w:spacing w:line="276" w:lineRule="auto"/>
              <w:jc w:val="center"/>
              <w:rPr>
                <w:rFonts w:ascii="Arial" w:eastAsia="Arial" w:hAnsi="Arial" w:cs="Arial"/>
                <w:sz w:val="20"/>
                <w:szCs w:val="20"/>
              </w:rPr>
            </w:pPr>
            <w:r>
              <w:rPr>
                <w:rFonts w:ascii="Arial" w:eastAsia="Arial" w:hAnsi="Arial" w:cs="Arial"/>
                <w:sz w:val="20"/>
                <w:szCs w:val="20"/>
              </w:rPr>
              <w:t>16,6</w:t>
            </w:r>
          </w:p>
        </w:tc>
        <w:tc>
          <w:tcPr>
            <w:tcW w:w="1725" w:type="dxa"/>
            <w:tcBorders>
              <w:top w:val="nil"/>
              <w:left w:val="nil"/>
              <w:bottom w:val="single" w:sz="5" w:space="0" w:color="000000"/>
              <w:right w:val="single" w:sz="5" w:space="0" w:color="000000"/>
            </w:tcBorders>
            <w:tcMar>
              <w:top w:w="0" w:type="dxa"/>
              <w:left w:w="80" w:type="dxa"/>
              <w:bottom w:w="0" w:type="dxa"/>
              <w:right w:w="80" w:type="dxa"/>
            </w:tcMar>
            <w:vAlign w:val="bottom"/>
          </w:tcPr>
          <w:p w14:paraId="000000D8" w14:textId="77777777" w:rsidR="009D7C1F" w:rsidRDefault="00000000">
            <w:pPr>
              <w:spacing w:line="276" w:lineRule="auto"/>
              <w:jc w:val="center"/>
              <w:rPr>
                <w:rFonts w:ascii="Arial" w:eastAsia="Arial" w:hAnsi="Arial" w:cs="Arial"/>
                <w:sz w:val="20"/>
                <w:szCs w:val="20"/>
              </w:rPr>
            </w:pPr>
            <w:r>
              <w:rPr>
                <w:rFonts w:ascii="Arial" w:eastAsia="Arial" w:hAnsi="Arial" w:cs="Arial"/>
                <w:sz w:val="20"/>
                <w:szCs w:val="20"/>
              </w:rPr>
              <w:t>92%</w:t>
            </w:r>
          </w:p>
        </w:tc>
      </w:tr>
      <w:tr w:rsidR="009D7C1F" w14:paraId="50AB175E" w14:textId="77777777">
        <w:trPr>
          <w:trHeight w:val="300"/>
        </w:trPr>
        <w:tc>
          <w:tcPr>
            <w:tcW w:w="2460" w:type="dxa"/>
            <w:tcBorders>
              <w:top w:val="nil"/>
              <w:left w:val="single" w:sz="5" w:space="0" w:color="000000"/>
              <w:bottom w:val="single" w:sz="5" w:space="0" w:color="000000"/>
              <w:right w:val="single" w:sz="5" w:space="0" w:color="000000"/>
            </w:tcBorders>
            <w:tcMar>
              <w:top w:w="0" w:type="dxa"/>
              <w:left w:w="80" w:type="dxa"/>
              <w:bottom w:w="0" w:type="dxa"/>
              <w:right w:w="80" w:type="dxa"/>
            </w:tcMar>
            <w:vAlign w:val="bottom"/>
          </w:tcPr>
          <w:p w14:paraId="000000D9" w14:textId="77777777" w:rsidR="009D7C1F" w:rsidRDefault="00000000">
            <w:pPr>
              <w:spacing w:line="276" w:lineRule="auto"/>
              <w:jc w:val="center"/>
              <w:rPr>
                <w:rFonts w:ascii="Arial Narrow" w:eastAsia="Arial Narrow" w:hAnsi="Arial Narrow" w:cs="Arial Narrow"/>
                <w:sz w:val="20"/>
                <w:szCs w:val="20"/>
              </w:rPr>
            </w:pPr>
            <w:r>
              <w:rPr>
                <w:rFonts w:ascii="Arial Narrow" w:eastAsia="Arial Narrow" w:hAnsi="Arial Narrow" w:cs="Arial Narrow"/>
                <w:sz w:val="20"/>
                <w:szCs w:val="20"/>
              </w:rPr>
              <w:t>Las Ferias</w:t>
            </w:r>
          </w:p>
        </w:tc>
        <w:tc>
          <w:tcPr>
            <w:tcW w:w="1260" w:type="dxa"/>
            <w:tcBorders>
              <w:top w:val="nil"/>
              <w:left w:val="nil"/>
              <w:bottom w:val="single" w:sz="5" w:space="0" w:color="000000"/>
              <w:right w:val="single" w:sz="5" w:space="0" w:color="000000"/>
            </w:tcBorders>
            <w:tcMar>
              <w:top w:w="0" w:type="dxa"/>
              <w:left w:w="80" w:type="dxa"/>
              <w:bottom w:w="0" w:type="dxa"/>
              <w:right w:w="80" w:type="dxa"/>
            </w:tcMar>
            <w:vAlign w:val="bottom"/>
          </w:tcPr>
          <w:p w14:paraId="000000DA" w14:textId="77777777" w:rsidR="009D7C1F" w:rsidRDefault="00000000">
            <w:pPr>
              <w:spacing w:line="276" w:lineRule="auto"/>
              <w:jc w:val="center"/>
              <w:rPr>
                <w:rFonts w:ascii="Arial" w:eastAsia="Arial" w:hAnsi="Arial" w:cs="Arial"/>
                <w:sz w:val="20"/>
                <w:szCs w:val="20"/>
              </w:rPr>
            </w:pPr>
            <w:r>
              <w:rPr>
                <w:rFonts w:ascii="Arial" w:eastAsia="Arial" w:hAnsi="Arial" w:cs="Arial"/>
                <w:sz w:val="20"/>
                <w:szCs w:val="20"/>
              </w:rPr>
              <w:t>13,2</w:t>
            </w:r>
          </w:p>
        </w:tc>
        <w:tc>
          <w:tcPr>
            <w:tcW w:w="1725" w:type="dxa"/>
            <w:tcBorders>
              <w:top w:val="nil"/>
              <w:left w:val="nil"/>
              <w:bottom w:val="single" w:sz="5" w:space="0" w:color="000000"/>
              <w:right w:val="single" w:sz="5" w:space="0" w:color="000000"/>
            </w:tcBorders>
            <w:tcMar>
              <w:top w:w="0" w:type="dxa"/>
              <w:left w:w="80" w:type="dxa"/>
              <w:bottom w:w="0" w:type="dxa"/>
              <w:right w:w="80" w:type="dxa"/>
            </w:tcMar>
            <w:vAlign w:val="bottom"/>
          </w:tcPr>
          <w:p w14:paraId="000000DB" w14:textId="77777777" w:rsidR="009D7C1F" w:rsidRDefault="00000000">
            <w:pPr>
              <w:spacing w:line="276" w:lineRule="auto"/>
              <w:jc w:val="center"/>
              <w:rPr>
                <w:rFonts w:ascii="Arial" w:eastAsia="Arial" w:hAnsi="Arial" w:cs="Arial"/>
                <w:sz w:val="20"/>
                <w:szCs w:val="20"/>
              </w:rPr>
            </w:pPr>
            <w:r>
              <w:rPr>
                <w:rFonts w:ascii="Arial" w:eastAsia="Arial" w:hAnsi="Arial" w:cs="Arial"/>
                <w:sz w:val="20"/>
                <w:szCs w:val="20"/>
              </w:rPr>
              <w:t>95%</w:t>
            </w:r>
          </w:p>
        </w:tc>
      </w:tr>
      <w:tr w:rsidR="009D7C1F" w14:paraId="4EAC603B" w14:textId="77777777">
        <w:trPr>
          <w:trHeight w:val="300"/>
        </w:trPr>
        <w:tc>
          <w:tcPr>
            <w:tcW w:w="2460" w:type="dxa"/>
            <w:tcBorders>
              <w:top w:val="nil"/>
              <w:left w:val="single" w:sz="5" w:space="0" w:color="000000"/>
              <w:bottom w:val="single" w:sz="5" w:space="0" w:color="000000"/>
              <w:right w:val="single" w:sz="5" w:space="0" w:color="000000"/>
            </w:tcBorders>
            <w:tcMar>
              <w:top w:w="0" w:type="dxa"/>
              <w:left w:w="80" w:type="dxa"/>
              <w:bottom w:w="0" w:type="dxa"/>
              <w:right w:w="80" w:type="dxa"/>
            </w:tcMar>
            <w:vAlign w:val="bottom"/>
          </w:tcPr>
          <w:p w14:paraId="000000DC" w14:textId="77777777" w:rsidR="009D7C1F" w:rsidRDefault="00000000">
            <w:pPr>
              <w:spacing w:line="276" w:lineRule="auto"/>
              <w:jc w:val="center"/>
              <w:rPr>
                <w:rFonts w:ascii="Arial Narrow" w:eastAsia="Arial Narrow" w:hAnsi="Arial Narrow" w:cs="Arial Narrow"/>
                <w:sz w:val="20"/>
                <w:szCs w:val="20"/>
              </w:rPr>
            </w:pPr>
            <w:r>
              <w:rPr>
                <w:rFonts w:ascii="Arial Narrow" w:eastAsia="Arial Narrow" w:hAnsi="Arial Narrow" w:cs="Arial Narrow"/>
                <w:sz w:val="20"/>
                <w:szCs w:val="20"/>
              </w:rPr>
              <w:t>MinAmbiente</w:t>
            </w:r>
          </w:p>
        </w:tc>
        <w:tc>
          <w:tcPr>
            <w:tcW w:w="1260" w:type="dxa"/>
            <w:tcBorders>
              <w:top w:val="nil"/>
              <w:left w:val="nil"/>
              <w:bottom w:val="single" w:sz="5" w:space="0" w:color="000000"/>
              <w:right w:val="single" w:sz="5" w:space="0" w:color="000000"/>
            </w:tcBorders>
            <w:tcMar>
              <w:top w:w="0" w:type="dxa"/>
              <w:left w:w="80" w:type="dxa"/>
              <w:bottom w:w="0" w:type="dxa"/>
              <w:right w:w="80" w:type="dxa"/>
            </w:tcMar>
            <w:vAlign w:val="bottom"/>
          </w:tcPr>
          <w:p w14:paraId="000000DD" w14:textId="77777777" w:rsidR="009D7C1F" w:rsidRDefault="00000000">
            <w:pPr>
              <w:spacing w:line="276" w:lineRule="auto"/>
              <w:jc w:val="center"/>
              <w:rPr>
                <w:rFonts w:ascii="Arial" w:eastAsia="Arial" w:hAnsi="Arial" w:cs="Arial"/>
                <w:sz w:val="20"/>
                <w:szCs w:val="20"/>
              </w:rPr>
            </w:pPr>
            <w:r>
              <w:rPr>
                <w:rFonts w:ascii="Arial" w:eastAsia="Arial" w:hAnsi="Arial" w:cs="Arial"/>
                <w:sz w:val="20"/>
                <w:szCs w:val="20"/>
              </w:rPr>
              <w:t>11,5</w:t>
            </w:r>
          </w:p>
        </w:tc>
        <w:tc>
          <w:tcPr>
            <w:tcW w:w="1725" w:type="dxa"/>
            <w:tcBorders>
              <w:top w:val="nil"/>
              <w:left w:val="nil"/>
              <w:bottom w:val="single" w:sz="5" w:space="0" w:color="000000"/>
              <w:right w:val="single" w:sz="5" w:space="0" w:color="000000"/>
            </w:tcBorders>
            <w:tcMar>
              <w:top w:w="0" w:type="dxa"/>
              <w:left w:w="80" w:type="dxa"/>
              <w:bottom w:w="0" w:type="dxa"/>
              <w:right w:w="80" w:type="dxa"/>
            </w:tcMar>
            <w:vAlign w:val="bottom"/>
          </w:tcPr>
          <w:p w14:paraId="000000DE" w14:textId="77777777" w:rsidR="009D7C1F" w:rsidRDefault="00000000">
            <w:pPr>
              <w:spacing w:line="276" w:lineRule="auto"/>
              <w:jc w:val="center"/>
              <w:rPr>
                <w:rFonts w:ascii="Arial" w:eastAsia="Arial" w:hAnsi="Arial" w:cs="Arial"/>
                <w:sz w:val="20"/>
                <w:szCs w:val="20"/>
              </w:rPr>
            </w:pPr>
            <w:r>
              <w:rPr>
                <w:rFonts w:ascii="Arial" w:eastAsia="Arial" w:hAnsi="Arial" w:cs="Arial"/>
                <w:sz w:val="20"/>
                <w:szCs w:val="20"/>
              </w:rPr>
              <w:t>90%</w:t>
            </w:r>
          </w:p>
        </w:tc>
      </w:tr>
      <w:tr w:rsidR="009D7C1F" w14:paraId="45F488F5" w14:textId="77777777">
        <w:trPr>
          <w:trHeight w:val="300"/>
        </w:trPr>
        <w:tc>
          <w:tcPr>
            <w:tcW w:w="2460" w:type="dxa"/>
            <w:tcBorders>
              <w:top w:val="nil"/>
              <w:left w:val="single" w:sz="5" w:space="0" w:color="000000"/>
              <w:bottom w:val="single" w:sz="5" w:space="0" w:color="000000"/>
              <w:right w:val="single" w:sz="5" w:space="0" w:color="000000"/>
            </w:tcBorders>
            <w:tcMar>
              <w:top w:w="0" w:type="dxa"/>
              <w:left w:w="80" w:type="dxa"/>
              <w:bottom w:w="0" w:type="dxa"/>
              <w:right w:w="80" w:type="dxa"/>
            </w:tcMar>
            <w:vAlign w:val="bottom"/>
          </w:tcPr>
          <w:p w14:paraId="000000DF" w14:textId="77777777" w:rsidR="009D7C1F" w:rsidRDefault="00000000">
            <w:pPr>
              <w:spacing w:line="276" w:lineRule="auto"/>
              <w:jc w:val="center"/>
              <w:rPr>
                <w:rFonts w:ascii="Arial Narrow" w:eastAsia="Arial Narrow" w:hAnsi="Arial Narrow" w:cs="Arial Narrow"/>
                <w:sz w:val="20"/>
                <w:szCs w:val="20"/>
              </w:rPr>
            </w:pPr>
            <w:r>
              <w:rPr>
                <w:rFonts w:ascii="Arial Narrow" w:eastAsia="Arial Narrow" w:hAnsi="Arial Narrow" w:cs="Arial Narrow"/>
                <w:sz w:val="20"/>
                <w:szCs w:val="20"/>
              </w:rPr>
              <w:t>Movil Fontibon</w:t>
            </w:r>
          </w:p>
        </w:tc>
        <w:tc>
          <w:tcPr>
            <w:tcW w:w="1260" w:type="dxa"/>
            <w:tcBorders>
              <w:top w:val="nil"/>
              <w:left w:val="nil"/>
              <w:bottom w:val="single" w:sz="5" w:space="0" w:color="000000"/>
              <w:right w:val="single" w:sz="5" w:space="0" w:color="000000"/>
            </w:tcBorders>
            <w:tcMar>
              <w:top w:w="0" w:type="dxa"/>
              <w:left w:w="80" w:type="dxa"/>
              <w:bottom w:w="0" w:type="dxa"/>
              <w:right w:w="80" w:type="dxa"/>
            </w:tcMar>
            <w:vAlign w:val="bottom"/>
          </w:tcPr>
          <w:p w14:paraId="000000E0" w14:textId="77777777" w:rsidR="009D7C1F" w:rsidRDefault="00000000">
            <w:pPr>
              <w:spacing w:line="276" w:lineRule="auto"/>
              <w:jc w:val="center"/>
              <w:rPr>
                <w:rFonts w:ascii="Arial" w:eastAsia="Arial" w:hAnsi="Arial" w:cs="Arial"/>
                <w:sz w:val="20"/>
                <w:szCs w:val="20"/>
              </w:rPr>
            </w:pPr>
            <w:r>
              <w:rPr>
                <w:rFonts w:ascii="Arial" w:eastAsia="Arial" w:hAnsi="Arial" w:cs="Arial"/>
                <w:sz w:val="20"/>
                <w:szCs w:val="20"/>
              </w:rPr>
              <w:t>15</w:t>
            </w:r>
          </w:p>
        </w:tc>
        <w:tc>
          <w:tcPr>
            <w:tcW w:w="1725" w:type="dxa"/>
            <w:tcBorders>
              <w:top w:val="nil"/>
              <w:left w:val="nil"/>
              <w:bottom w:val="single" w:sz="5" w:space="0" w:color="000000"/>
              <w:right w:val="single" w:sz="5" w:space="0" w:color="000000"/>
            </w:tcBorders>
            <w:tcMar>
              <w:top w:w="0" w:type="dxa"/>
              <w:left w:w="80" w:type="dxa"/>
              <w:bottom w:w="0" w:type="dxa"/>
              <w:right w:w="80" w:type="dxa"/>
            </w:tcMar>
            <w:vAlign w:val="bottom"/>
          </w:tcPr>
          <w:p w14:paraId="000000E1" w14:textId="77777777" w:rsidR="009D7C1F" w:rsidRDefault="00000000">
            <w:pPr>
              <w:spacing w:line="276" w:lineRule="auto"/>
              <w:jc w:val="center"/>
              <w:rPr>
                <w:rFonts w:ascii="Arial" w:eastAsia="Arial" w:hAnsi="Arial" w:cs="Arial"/>
                <w:sz w:val="20"/>
                <w:szCs w:val="20"/>
              </w:rPr>
            </w:pPr>
            <w:r>
              <w:rPr>
                <w:rFonts w:ascii="Arial" w:eastAsia="Arial" w:hAnsi="Arial" w:cs="Arial"/>
                <w:sz w:val="20"/>
                <w:szCs w:val="20"/>
              </w:rPr>
              <w:t>98%</w:t>
            </w:r>
          </w:p>
        </w:tc>
      </w:tr>
      <w:tr w:rsidR="009D7C1F" w14:paraId="5136EA75" w14:textId="77777777">
        <w:trPr>
          <w:trHeight w:val="300"/>
        </w:trPr>
        <w:tc>
          <w:tcPr>
            <w:tcW w:w="2460" w:type="dxa"/>
            <w:tcBorders>
              <w:top w:val="nil"/>
              <w:left w:val="single" w:sz="5" w:space="0" w:color="000000"/>
              <w:bottom w:val="single" w:sz="5" w:space="0" w:color="000000"/>
              <w:right w:val="single" w:sz="5" w:space="0" w:color="000000"/>
            </w:tcBorders>
            <w:tcMar>
              <w:top w:w="0" w:type="dxa"/>
              <w:left w:w="80" w:type="dxa"/>
              <w:bottom w:w="0" w:type="dxa"/>
              <w:right w:w="80" w:type="dxa"/>
            </w:tcMar>
            <w:vAlign w:val="bottom"/>
          </w:tcPr>
          <w:p w14:paraId="000000E2" w14:textId="77777777" w:rsidR="009D7C1F" w:rsidRDefault="00000000">
            <w:pPr>
              <w:spacing w:line="276" w:lineRule="auto"/>
              <w:jc w:val="center"/>
              <w:rPr>
                <w:rFonts w:ascii="Arial Narrow" w:eastAsia="Arial Narrow" w:hAnsi="Arial Narrow" w:cs="Arial Narrow"/>
                <w:sz w:val="20"/>
                <w:szCs w:val="20"/>
              </w:rPr>
            </w:pPr>
            <w:r>
              <w:rPr>
                <w:rFonts w:ascii="Arial Narrow" w:eastAsia="Arial Narrow" w:hAnsi="Arial Narrow" w:cs="Arial Narrow"/>
                <w:sz w:val="20"/>
                <w:szCs w:val="20"/>
              </w:rPr>
              <w:t>Movil 7ma</w:t>
            </w:r>
          </w:p>
        </w:tc>
        <w:tc>
          <w:tcPr>
            <w:tcW w:w="1260" w:type="dxa"/>
            <w:tcBorders>
              <w:top w:val="nil"/>
              <w:left w:val="nil"/>
              <w:bottom w:val="single" w:sz="5" w:space="0" w:color="000000"/>
              <w:right w:val="single" w:sz="5" w:space="0" w:color="000000"/>
            </w:tcBorders>
            <w:tcMar>
              <w:top w:w="0" w:type="dxa"/>
              <w:left w:w="80" w:type="dxa"/>
              <w:bottom w:w="0" w:type="dxa"/>
              <w:right w:w="80" w:type="dxa"/>
            </w:tcMar>
            <w:vAlign w:val="bottom"/>
          </w:tcPr>
          <w:p w14:paraId="000000E3" w14:textId="77777777" w:rsidR="009D7C1F" w:rsidRDefault="00000000">
            <w:pPr>
              <w:spacing w:line="276" w:lineRule="auto"/>
              <w:jc w:val="center"/>
              <w:rPr>
                <w:rFonts w:ascii="Arial" w:eastAsia="Arial" w:hAnsi="Arial" w:cs="Arial"/>
                <w:sz w:val="20"/>
                <w:szCs w:val="20"/>
              </w:rPr>
            </w:pPr>
            <w:r>
              <w:rPr>
                <w:rFonts w:ascii="Arial" w:eastAsia="Arial" w:hAnsi="Arial" w:cs="Arial"/>
                <w:sz w:val="20"/>
                <w:szCs w:val="20"/>
              </w:rPr>
              <w:t>10,7</w:t>
            </w:r>
          </w:p>
        </w:tc>
        <w:tc>
          <w:tcPr>
            <w:tcW w:w="1725" w:type="dxa"/>
            <w:tcBorders>
              <w:top w:val="nil"/>
              <w:left w:val="nil"/>
              <w:bottom w:val="single" w:sz="5" w:space="0" w:color="000000"/>
              <w:right w:val="single" w:sz="5" w:space="0" w:color="000000"/>
            </w:tcBorders>
            <w:tcMar>
              <w:top w:w="0" w:type="dxa"/>
              <w:left w:w="80" w:type="dxa"/>
              <w:bottom w:w="0" w:type="dxa"/>
              <w:right w:w="80" w:type="dxa"/>
            </w:tcMar>
            <w:vAlign w:val="bottom"/>
          </w:tcPr>
          <w:p w14:paraId="000000E4" w14:textId="77777777" w:rsidR="009D7C1F" w:rsidRDefault="00000000">
            <w:pPr>
              <w:spacing w:line="276" w:lineRule="auto"/>
              <w:jc w:val="center"/>
              <w:rPr>
                <w:rFonts w:ascii="Arial" w:eastAsia="Arial" w:hAnsi="Arial" w:cs="Arial"/>
                <w:sz w:val="20"/>
                <w:szCs w:val="20"/>
              </w:rPr>
            </w:pPr>
            <w:r>
              <w:rPr>
                <w:rFonts w:ascii="Arial" w:eastAsia="Arial" w:hAnsi="Arial" w:cs="Arial"/>
                <w:sz w:val="20"/>
                <w:szCs w:val="20"/>
              </w:rPr>
              <w:t>98%</w:t>
            </w:r>
          </w:p>
        </w:tc>
      </w:tr>
      <w:tr w:rsidR="009D7C1F" w14:paraId="42CD60F9" w14:textId="77777777">
        <w:trPr>
          <w:trHeight w:val="300"/>
        </w:trPr>
        <w:tc>
          <w:tcPr>
            <w:tcW w:w="2460" w:type="dxa"/>
            <w:tcBorders>
              <w:top w:val="nil"/>
              <w:left w:val="single" w:sz="5" w:space="0" w:color="000000"/>
              <w:bottom w:val="single" w:sz="5" w:space="0" w:color="000000"/>
              <w:right w:val="single" w:sz="5" w:space="0" w:color="000000"/>
            </w:tcBorders>
            <w:tcMar>
              <w:top w:w="0" w:type="dxa"/>
              <w:left w:w="80" w:type="dxa"/>
              <w:bottom w:w="0" w:type="dxa"/>
              <w:right w:w="80" w:type="dxa"/>
            </w:tcMar>
            <w:vAlign w:val="bottom"/>
          </w:tcPr>
          <w:p w14:paraId="000000E5" w14:textId="77777777" w:rsidR="009D7C1F" w:rsidRDefault="00000000">
            <w:pPr>
              <w:spacing w:line="276" w:lineRule="auto"/>
              <w:jc w:val="center"/>
              <w:rPr>
                <w:rFonts w:ascii="Arial Narrow" w:eastAsia="Arial Narrow" w:hAnsi="Arial Narrow" w:cs="Arial Narrow"/>
                <w:sz w:val="20"/>
                <w:szCs w:val="20"/>
              </w:rPr>
            </w:pPr>
            <w:r>
              <w:rPr>
                <w:rFonts w:ascii="Arial Narrow" w:eastAsia="Arial Narrow" w:hAnsi="Arial Narrow" w:cs="Arial Narrow"/>
                <w:sz w:val="20"/>
                <w:szCs w:val="20"/>
              </w:rPr>
              <w:t>Puente Aranda</w:t>
            </w:r>
          </w:p>
        </w:tc>
        <w:tc>
          <w:tcPr>
            <w:tcW w:w="1260" w:type="dxa"/>
            <w:tcBorders>
              <w:top w:val="nil"/>
              <w:left w:val="nil"/>
              <w:bottom w:val="single" w:sz="5" w:space="0" w:color="000000"/>
              <w:right w:val="single" w:sz="5" w:space="0" w:color="000000"/>
            </w:tcBorders>
            <w:tcMar>
              <w:top w:w="0" w:type="dxa"/>
              <w:left w:w="80" w:type="dxa"/>
              <w:bottom w:w="0" w:type="dxa"/>
              <w:right w:w="80" w:type="dxa"/>
            </w:tcMar>
            <w:vAlign w:val="bottom"/>
          </w:tcPr>
          <w:p w14:paraId="000000E6" w14:textId="77777777" w:rsidR="009D7C1F" w:rsidRDefault="00000000">
            <w:pPr>
              <w:spacing w:line="276" w:lineRule="auto"/>
              <w:jc w:val="center"/>
              <w:rPr>
                <w:rFonts w:ascii="Arial" w:eastAsia="Arial" w:hAnsi="Arial" w:cs="Arial"/>
                <w:sz w:val="20"/>
                <w:szCs w:val="20"/>
              </w:rPr>
            </w:pPr>
            <w:r>
              <w:rPr>
                <w:rFonts w:ascii="Arial" w:eastAsia="Arial" w:hAnsi="Arial" w:cs="Arial"/>
                <w:sz w:val="20"/>
                <w:szCs w:val="20"/>
              </w:rPr>
              <w:t>11,8</w:t>
            </w:r>
          </w:p>
        </w:tc>
        <w:tc>
          <w:tcPr>
            <w:tcW w:w="1725" w:type="dxa"/>
            <w:tcBorders>
              <w:top w:val="nil"/>
              <w:left w:val="nil"/>
              <w:bottom w:val="single" w:sz="5" w:space="0" w:color="000000"/>
              <w:right w:val="single" w:sz="5" w:space="0" w:color="000000"/>
            </w:tcBorders>
            <w:tcMar>
              <w:top w:w="0" w:type="dxa"/>
              <w:left w:w="80" w:type="dxa"/>
              <w:bottom w:w="0" w:type="dxa"/>
              <w:right w:w="80" w:type="dxa"/>
            </w:tcMar>
            <w:vAlign w:val="bottom"/>
          </w:tcPr>
          <w:p w14:paraId="000000E7" w14:textId="77777777" w:rsidR="009D7C1F" w:rsidRDefault="00000000">
            <w:pPr>
              <w:spacing w:line="276" w:lineRule="auto"/>
              <w:jc w:val="center"/>
              <w:rPr>
                <w:rFonts w:ascii="Arial" w:eastAsia="Arial" w:hAnsi="Arial" w:cs="Arial"/>
                <w:sz w:val="20"/>
                <w:szCs w:val="20"/>
              </w:rPr>
            </w:pPr>
            <w:r>
              <w:rPr>
                <w:rFonts w:ascii="Arial" w:eastAsia="Arial" w:hAnsi="Arial" w:cs="Arial"/>
                <w:sz w:val="20"/>
                <w:szCs w:val="20"/>
              </w:rPr>
              <w:t>95%</w:t>
            </w:r>
          </w:p>
        </w:tc>
      </w:tr>
      <w:tr w:rsidR="009D7C1F" w14:paraId="5C0DFB75" w14:textId="77777777">
        <w:trPr>
          <w:trHeight w:val="300"/>
        </w:trPr>
        <w:tc>
          <w:tcPr>
            <w:tcW w:w="2460" w:type="dxa"/>
            <w:tcBorders>
              <w:top w:val="nil"/>
              <w:left w:val="single" w:sz="5" w:space="0" w:color="000000"/>
              <w:bottom w:val="single" w:sz="5" w:space="0" w:color="000000"/>
              <w:right w:val="single" w:sz="5" w:space="0" w:color="000000"/>
            </w:tcBorders>
            <w:tcMar>
              <w:top w:w="0" w:type="dxa"/>
              <w:left w:w="80" w:type="dxa"/>
              <w:bottom w:w="0" w:type="dxa"/>
              <w:right w:w="80" w:type="dxa"/>
            </w:tcMar>
            <w:vAlign w:val="bottom"/>
          </w:tcPr>
          <w:p w14:paraId="000000E8" w14:textId="77777777" w:rsidR="009D7C1F" w:rsidRDefault="00000000">
            <w:pPr>
              <w:spacing w:line="276" w:lineRule="auto"/>
              <w:jc w:val="center"/>
              <w:rPr>
                <w:rFonts w:ascii="Arial Narrow" w:eastAsia="Arial Narrow" w:hAnsi="Arial Narrow" w:cs="Arial Narrow"/>
                <w:sz w:val="20"/>
                <w:szCs w:val="20"/>
              </w:rPr>
            </w:pPr>
            <w:r>
              <w:rPr>
                <w:rFonts w:ascii="Arial Narrow" w:eastAsia="Arial Narrow" w:hAnsi="Arial Narrow" w:cs="Arial Narrow"/>
                <w:sz w:val="20"/>
                <w:szCs w:val="20"/>
              </w:rPr>
              <w:t>San Cristobal</w:t>
            </w:r>
          </w:p>
        </w:tc>
        <w:tc>
          <w:tcPr>
            <w:tcW w:w="1260" w:type="dxa"/>
            <w:tcBorders>
              <w:top w:val="nil"/>
              <w:left w:val="nil"/>
              <w:bottom w:val="single" w:sz="5" w:space="0" w:color="000000"/>
              <w:right w:val="single" w:sz="5" w:space="0" w:color="000000"/>
            </w:tcBorders>
            <w:tcMar>
              <w:top w:w="0" w:type="dxa"/>
              <w:left w:w="80" w:type="dxa"/>
              <w:bottom w:w="0" w:type="dxa"/>
              <w:right w:w="80" w:type="dxa"/>
            </w:tcMar>
            <w:vAlign w:val="bottom"/>
          </w:tcPr>
          <w:p w14:paraId="000000E9" w14:textId="77777777" w:rsidR="009D7C1F" w:rsidRDefault="00000000">
            <w:pPr>
              <w:spacing w:line="276" w:lineRule="auto"/>
              <w:jc w:val="center"/>
              <w:rPr>
                <w:rFonts w:ascii="Arial" w:eastAsia="Arial" w:hAnsi="Arial" w:cs="Arial"/>
                <w:sz w:val="20"/>
                <w:szCs w:val="20"/>
              </w:rPr>
            </w:pPr>
            <w:r>
              <w:rPr>
                <w:rFonts w:ascii="Arial" w:eastAsia="Arial" w:hAnsi="Arial" w:cs="Arial"/>
                <w:sz w:val="20"/>
                <w:szCs w:val="20"/>
              </w:rPr>
              <w:t>10,6</w:t>
            </w:r>
          </w:p>
        </w:tc>
        <w:tc>
          <w:tcPr>
            <w:tcW w:w="1725" w:type="dxa"/>
            <w:tcBorders>
              <w:top w:val="nil"/>
              <w:left w:val="nil"/>
              <w:bottom w:val="single" w:sz="5" w:space="0" w:color="000000"/>
              <w:right w:val="single" w:sz="5" w:space="0" w:color="000000"/>
            </w:tcBorders>
            <w:tcMar>
              <w:top w:w="0" w:type="dxa"/>
              <w:left w:w="80" w:type="dxa"/>
              <w:bottom w:w="0" w:type="dxa"/>
              <w:right w:w="80" w:type="dxa"/>
            </w:tcMar>
            <w:vAlign w:val="bottom"/>
          </w:tcPr>
          <w:p w14:paraId="000000EA" w14:textId="77777777" w:rsidR="009D7C1F" w:rsidRDefault="00000000">
            <w:pPr>
              <w:spacing w:line="276" w:lineRule="auto"/>
              <w:jc w:val="center"/>
              <w:rPr>
                <w:rFonts w:ascii="Arial" w:eastAsia="Arial" w:hAnsi="Arial" w:cs="Arial"/>
                <w:sz w:val="20"/>
                <w:szCs w:val="20"/>
              </w:rPr>
            </w:pPr>
            <w:r>
              <w:rPr>
                <w:rFonts w:ascii="Arial" w:eastAsia="Arial" w:hAnsi="Arial" w:cs="Arial"/>
                <w:sz w:val="20"/>
                <w:szCs w:val="20"/>
              </w:rPr>
              <w:t>99%</w:t>
            </w:r>
          </w:p>
        </w:tc>
      </w:tr>
      <w:tr w:rsidR="009D7C1F" w14:paraId="1F74B0E4" w14:textId="77777777">
        <w:trPr>
          <w:trHeight w:val="300"/>
        </w:trPr>
        <w:tc>
          <w:tcPr>
            <w:tcW w:w="2460" w:type="dxa"/>
            <w:tcBorders>
              <w:top w:val="nil"/>
              <w:left w:val="single" w:sz="5" w:space="0" w:color="000000"/>
              <w:bottom w:val="single" w:sz="5" w:space="0" w:color="000000"/>
              <w:right w:val="single" w:sz="5" w:space="0" w:color="000000"/>
            </w:tcBorders>
            <w:tcMar>
              <w:top w:w="0" w:type="dxa"/>
              <w:left w:w="80" w:type="dxa"/>
              <w:bottom w:w="0" w:type="dxa"/>
              <w:right w:w="80" w:type="dxa"/>
            </w:tcMar>
            <w:vAlign w:val="bottom"/>
          </w:tcPr>
          <w:p w14:paraId="000000EB" w14:textId="77777777" w:rsidR="009D7C1F" w:rsidRDefault="00000000">
            <w:pPr>
              <w:spacing w:line="276" w:lineRule="auto"/>
              <w:jc w:val="center"/>
              <w:rPr>
                <w:rFonts w:ascii="Arial Narrow" w:eastAsia="Arial Narrow" w:hAnsi="Arial Narrow" w:cs="Arial Narrow"/>
                <w:sz w:val="20"/>
                <w:szCs w:val="20"/>
              </w:rPr>
            </w:pPr>
            <w:r>
              <w:rPr>
                <w:rFonts w:ascii="Arial Narrow" w:eastAsia="Arial Narrow" w:hAnsi="Arial Narrow" w:cs="Arial Narrow"/>
                <w:sz w:val="20"/>
                <w:szCs w:val="20"/>
              </w:rPr>
              <w:t>Suba</w:t>
            </w:r>
          </w:p>
        </w:tc>
        <w:tc>
          <w:tcPr>
            <w:tcW w:w="1260" w:type="dxa"/>
            <w:tcBorders>
              <w:top w:val="nil"/>
              <w:left w:val="nil"/>
              <w:bottom w:val="single" w:sz="5" w:space="0" w:color="000000"/>
              <w:right w:val="single" w:sz="5" w:space="0" w:color="000000"/>
            </w:tcBorders>
            <w:tcMar>
              <w:top w:w="0" w:type="dxa"/>
              <w:left w:w="80" w:type="dxa"/>
              <w:bottom w:w="0" w:type="dxa"/>
              <w:right w:w="80" w:type="dxa"/>
            </w:tcMar>
            <w:vAlign w:val="bottom"/>
          </w:tcPr>
          <w:p w14:paraId="000000EC" w14:textId="77777777" w:rsidR="009D7C1F" w:rsidRDefault="00000000">
            <w:pPr>
              <w:spacing w:line="276" w:lineRule="auto"/>
              <w:jc w:val="center"/>
              <w:rPr>
                <w:rFonts w:ascii="Arial" w:eastAsia="Arial" w:hAnsi="Arial" w:cs="Arial"/>
                <w:sz w:val="20"/>
                <w:szCs w:val="20"/>
              </w:rPr>
            </w:pPr>
            <w:r>
              <w:rPr>
                <w:rFonts w:ascii="Arial" w:eastAsia="Arial" w:hAnsi="Arial" w:cs="Arial"/>
                <w:sz w:val="20"/>
                <w:szCs w:val="20"/>
              </w:rPr>
              <w:t>13,4</w:t>
            </w:r>
          </w:p>
        </w:tc>
        <w:tc>
          <w:tcPr>
            <w:tcW w:w="1725" w:type="dxa"/>
            <w:tcBorders>
              <w:top w:val="nil"/>
              <w:left w:val="nil"/>
              <w:bottom w:val="single" w:sz="5" w:space="0" w:color="000000"/>
              <w:right w:val="single" w:sz="5" w:space="0" w:color="000000"/>
            </w:tcBorders>
            <w:tcMar>
              <w:top w:w="0" w:type="dxa"/>
              <w:left w:w="80" w:type="dxa"/>
              <w:bottom w:w="0" w:type="dxa"/>
              <w:right w:w="80" w:type="dxa"/>
            </w:tcMar>
            <w:vAlign w:val="bottom"/>
          </w:tcPr>
          <w:p w14:paraId="000000ED" w14:textId="77777777" w:rsidR="009D7C1F" w:rsidRDefault="00000000">
            <w:pPr>
              <w:spacing w:line="276" w:lineRule="auto"/>
              <w:jc w:val="center"/>
              <w:rPr>
                <w:rFonts w:ascii="Arial" w:eastAsia="Arial" w:hAnsi="Arial" w:cs="Arial"/>
                <w:sz w:val="20"/>
                <w:szCs w:val="20"/>
              </w:rPr>
            </w:pPr>
            <w:r>
              <w:rPr>
                <w:rFonts w:ascii="Arial" w:eastAsia="Arial" w:hAnsi="Arial" w:cs="Arial"/>
                <w:sz w:val="20"/>
                <w:szCs w:val="20"/>
              </w:rPr>
              <w:t>92%</w:t>
            </w:r>
          </w:p>
        </w:tc>
      </w:tr>
      <w:tr w:rsidR="009D7C1F" w14:paraId="5AB2D831" w14:textId="77777777">
        <w:trPr>
          <w:trHeight w:val="300"/>
        </w:trPr>
        <w:tc>
          <w:tcPr>
            <w:tcW w:w="2460" w:type="dxa"/>
            <w:tcBorders>
              <w:top w:val="nil"/>
              <w:left w:val="single" w:sz="5" w:space="0" w:color="000000"/>
              <w:bottom w:val="single" w:sz="5" w:space="0" w:color="000000"/>
              <w:right w:val="single" w:sz="5" w:space="0" w:color="000000"/>
            </w:tcBorders>
            <w:tcMar>
              <w:top w:w="0" w:type="dxa"/>
              <w:left w:w="80" w:type="dxa"/>
              <w:bottom w:w="0" w:type="dxa"/>
              <w:right w:w="80" w:type="dxa"/>
            </w:tcMar>
            <w:vAlign w:val="bottom"/>
          </w:tcPr>
          <w:p w14:paraId="000000EE" w14:textId="77777777" w:rsidR="009D7C1F" w:rsidRDefault="00000000">
            <w:pPr>
              <w:spacing w:line="276" w:lineRule="auto"/>
              <w:jc w:val="center"/>
              <w:rPr>
                <w:rFonts w:ascii="Arial Narrow" w:eastAsia="Arial Narrow" w:hAnsi="Arial Narrow" w:cs="Arial Narrow"/>
                <w:sz w:val="20"/>
                <w:szCs w:val="20"/>
              </w:rPr>
            </w:pPr>
            <w:r>
              <w:rPr>
                <w:rFonts w:ascii="Arial Narrow" w:eastAsia="Arial Narrow" w:hAnsi="Arial Narrow" w:cs="Arial Narrow"/>
                <w:sz w:val="20"/>
                <w:szCs w:val="20"/>
              </w:rPr>
              <w:t>Tunal</w:t>
            </w:r>
          </w:p>
        </w:tc>
        <w:tc>
          <w:tcPr>
            <w:tcW w:w="1260" w:type="dxa"/>
            <w:tcBorders>
              <w:top w:val="nil"/>
              <w:left w:val="nil"/>
              <w:bottom w:val="single" w:sz="5" w:space="0" w:color="000000"/>
              <w:right w:val="single" w:sz="5" w:space="0" w:color="000000"/>
            </w:tcBorders>
            <w:tcMar>
              <w:top w:w="0" w:type="dxa"/>
              <w:left w:w="80" w:type="dxa"/>
              <w:bottom w:w="0" w:type="dxa"/>
              <w:right w:w="80" w:type="dxa"/>
            </w:tcMar>
            <w:vAlign w:val="bottom"/>
          </w:tcPr>
          <w:p w14:paraId="000000EF" w14:textId="77777777" w:rsidR="009D7C1F" w:rsidRDefault="00000000">
            <w:pPr>
              <w:spacing w:line="276" w:lineRule="auto"/>
              <w:jc w:val="center"/>
              <w:rPr>
                <w:rFonts w:ascii="Arial" w:eastAsia="Arial" w:hAnsi="Arial" w:cs="Arial"/>
                <w:sz w:val="20"/>
                <w:szCs w:val="20"/>
              </w:rPr>
            </w:pPr>
            <w:r>
              <w:rPr>
                <w:rFonts w:ascii="Arial" w:eastAsia="Arial" w:hAnsi="Arial" w:cs="Arial"/>
                <w:sz w:val="20"/>
                <w:szCs w:val="20"/>
              </w:rPr>
              <w:t>14,7</w:t>
            </w:r>
          </w:p>
        </w:tc>
        <w:tc>
          <w:tcPr>
            <w:tcW w:w="1725" w:type="dxa"/>
            <w:tcBorders>
              <w:top w:val="nil"/>
              <w:left w:val="nil"/>
              <w:bottom w:val="single" w:sz="5" w:space="0" w:color="000000"/>
              <w:right w:val="single" w:sz="5" w:space="0" w:color="000000"/>
            </w:tcBorders>
            <w:tcMar>
              <w:top w:w="0" w:type="dxa"/>
              <w:left w:w="80" w:type="dxa"/>
              <w:bottom w:w="0" w:type="dxa"/>
              <w:right w:w="80" w:type="dxa"/>
            </w:tcMar>
            <w:vAlign w:val="bottom"/>
          </w:tcPr>
          <w:p w14:paraId="000000F0" w14:textId="77777777" w:rsidR="009D7C1F" w:rsidRDefault="00000000">
            <w:pPr>
              <w:spacing w:line="276" w:lineRule="auto"/>
              <w:jc w:val="center"/>
              <w:rPr>
                <w:rFonts w:ascii="Arial" w:eastAsia="Arial" w:hAnsi="Arial" w:cs="Arial"/>
                <w:sz w:val="20"/>
                <w:szCs w:val="20"/>
              </w:rPr>
            </w:pPr>
            <w:r>
              <w:rPr>
                <w:rFonts w:ascii="Arial" w:eastAsia="Arial" w:hAnsi="Arial" w:cs="Arial"/>
                <w:sz w:val="20"/>
                <w:szCs w:val="20"/>
              </w:rPr>
              <w:t>87%</w:t>
            </w:r>
          </w:p>
        </w:tc>
      </w:tr>
      <w:tr w:rsidR="009D7C1F" w14:paraId="1A1CC6F0" w14:textId="77777777">
        <w:trPr>
          <w:trHeight w:val="300"/>
        </w:trPr>
        <w:tc>
          <w:tcPr>
            <w:tcW w:w="2460" w:type="dxa"/>
            <w:tcBorders>
              <w:top w:val="nil"/>
              <w:left w:val="single" w:sz="5" w:space="0" w:color="000000"/>
              <w:bottom w:val="single" w:sz="5" w:space="0" w:color="000000"/>
              <w:right w:val="single" w:sz="5" w:space="0" w:color="000000"/>
            </w:tcBorders>
            <w:tcMar>
              <w:top w:w="0" w:type="dxa"/>
              <w:left w:w="80" w:type="dxa"/>
              <w:bottom w:w="0" w:type="dxa"/>
              <w:right w:w="80" w:type="dxa"/>
            </w:tcMar>
            <w:vAlign w:val="bottom"/>
          </w:tcPr>
          <w:p w14:paraId="000000F1" w14:textId="77777777" w:rsidR="009D7C1F" w:rsidRDefault="00000000">
            <w:pPr>
              <w:spacing w:line="276" w:lineRule="auto"/>
              <w:jc w:val="center"/>
              <w:rPr>
                <w:rFonts w:ascii="Arial Narrow" w:eastAsia="Arial Narrow" w:hAnsi="Arial Narrow" w:cs="Arial Narrow"/>
                <w:sz w:val="20"/>
                <w:szCs w:val="20"/>
              </w:rPr>
            </w:pPr>
            <w:r>
              <w:rPr>
                <w:rFonts w:ascii="Arial Narrow" w:eastAsia="Arial Narrow" w:hAnsi="Arial Narrow" w:cs="Arial Narrow"/>
                <w:sz w:val="20"/>
                <w:szCs w:val="20"/>
              </w:rPr>
              <w:t>Usaquen</w:t>
            </w:r>
          </w:p>
        </w:tc>
        <w:tc>
          <w:tcPr>
            <w:tcW w:w="1260" w:type="dxa"/>
            <w:tcBorders>
              <w:top w:val="nil"/>
              <w:left w:val="nil"/>
              <w:bottom w:val="single" w:sz="5" w:space="0" w:color="000000"/>
              <w:right w:val="single" w:sz="5" w:space="0" w:color="000000"/>
            </w:tcBorders>
            <w:tcMar>
              <w:top w:w="0" w:type="dxa"/>
              <w:left w:w="80" w:type="dxa"/>
              <w:bottom w:w="0" w:type="dxa"/>
              <w:right w:w="80" w:type="dxa"/>
            </w:tcMar>
            <w:vAlign w:val="bottom"/>
          </w:tcPr>
          <w:p w14:paraId="000000F2" w14:textId="77777777" w:rsidR="009D7C1F" w:rsidRDefault="00000000">
            <w:pPr>
              <w:spacing w:line="276" w:lineRule="auto"/>
              <w:jc w:val="center"/>
              <w:rPr>
                <w:rFonts w:ascii="Arial" w:eastAsia="Arial" w:hAnsi="Arial" w:cs="Arial"/>
                <w:sz w:val="20"/>
                <w:szCs w:val="20"/>
              </w:rPr>
            </w:pPr>
            <w:r>
              <w:rPr>
                <w:rFonts w:ascii="Arial" w:eastAsia="Arial" w:hAnsi="Arial" w:cs="Arial"/>
                <w:sz w:val="20"/>
                <w:szCs w:val="20"/>
              </w:rPr>
              <w:t>7,4</w:t>
            </w:r>
          </w:p>
        </w:tc>
        <w:tc>
          <w:tcPr>
            <w:tcW w:w="1725" w:type="dxa"/>
            <w:tcBorders>
              <w:top w:val="nil"/>
              <w:left w:val="nil"/>
              <w:bottom w:val="single" w:sz="5" w:space="0" w:color="000000"/>
              <w:right w:val="single" w:sz="5" w:space="0" w:color="000000"/>
            </w:tcBorders>
            <w:tcMar>
              <w:top w:w="0" w:type="dxa"/>
              <w:left w:w="80" w:type="dxa"/>
              <w:bottom w:w="0" w:type="dxa"/>
              <w:right w:w="80" w:type="dxa"/>
            </w:tcMar>
            <w:vAlign w:val="bottom"/>
          </w:tcPr>
          <w:p w14:paraId="000000F3" w14:textId="77777777" w:rsidR="009D7C1F" w:rsidRDefault="00000000">
            <w:pPr>
              <w:spacing w:line="276" w:lineRule="auto"/>
              <w:jc w:val="center"/>
              <w:rPr>
                <w:rFonts w:ascii="Arial" w:eastAsia="Arial" w:hAnsi="Arial" w:cs="Arial"/>
                <w:sz w:val="20"/>
                <w:szCs w:val="20"/>
              </w:rPr>
            </w:pPr>
            <w:r>
              <w:rPr>
                <w:rFonts w:ascii="Arial" w:eastAsia="Arial" w:hAnsi="Arial" w:cs="Arial"/>
                <w:sz w:val="20"/>
                <w:szCs w:val="20"/>
              </w:rPr>
              <w:t>83%</w:t>
            </w:r>
          </w:p>
        </w:tc>
      </w:tr>
      <w:tr w:rsidR="009D7C1F" w14:paraId="5D08B7AF" w14:textId="77777777">
        <w:trPr>
          <w:trHeight w:val="300"/>
        </w:trPr>
        <w:tc>
          <w:tcPr>
            <w:tcW w:w="2460" w:type="dxa"/>
            <w:tcBorders>
              <w:top w:val="nil"/>
              <w:left w:val="single" w:sz="5" w:space="0" w:color="000000"/>
              <w:bottom w:val="single" w:sz="5" w:space="0" w:color="000000"/>
              <w:right w:val="single" w:sz="5" w:space="0" w:color="000000"/>
            </w:tcBorders>
            <w:tcMar>
              <w:top w:w="0" w:type="dxa"/>
              <w:left w:w="80" w:type="dxa"/>
              <w:bottom w:w="0" w:type="dxa"/>
              <w:right w:w="80" w:type="dxa"/>
            </w:tcMar>
            <w:vAlign w:val="bottom"/>
          </w:tcPr>
          <w:p w14:paraId="000000F4" w14:textId="77777777" w:rsidR="009D7C1F" w:rsidRDefault="00000000">
            <w:pPr>
              <w:spacing w:line="276" w:lineRule="auto"/>
              <w:jc w:val="center"/>
              <w:rPr>
                <w:rFonts w:ascii="Arial Narrow" w:eastAsia="Arial Narrow" w:hAnsi="Arial Narrow" w:cs="Arial Narrow"/>
                <w:sz w:val="20"/>
                <w:szCs w:val="20"/>
              </w:rPr>
            </w:pPr>
            <w:r>
              <w:rPr>
                <w:rFonts w:ascii="Arial Narrow" w:eastAsia="Arial Narrow" w:hAnsi="Arial Narrow" w:cs="Arial Narrow"/>
                <w:sz w:val="20"/>
                <w:szCs w:val="20"/>
              </w:rPr>
              <w:t>Usme</w:t>
            </w:r>
          </w:p>
        </w:tc>
        <w:tc>
          <w:tcPr>
            <w:tcW w:w="1260" w:type="dxa"/>
            <w:tcBorders>
              <w:top w:val="nil"/>
              <w:left w:val="nil"/>
              <w:bottom w:val="single" w:sz="5" w:space="0" w:color="000000"/>
              <w:right w:val="single" w:sz="5" w:space="0" w:color="000000"/>
            </w:tcBorders>
            <w:tcMar>
              <w:top w:w="0" w:type="dxa"/>
              <w:left w:w="80" w:type="dxa"/>
              <w:bottom w:w="0" w:type="dxa"/>
              <w:right w:w="80" w:type="dxa"/>
            </w:tcMar>
            <w:vAlign w:val="bottom"/>
          </w:tcPr>
          <w:p w14:paraId="000000F5" w14:textId="77777777" w:rsidR="009D7C1F" w:rsidRDefault="00000000">
            <w:pPr>
              <w:spacing w:line="276" w:lineRule="auto"/>
              <w:jc w:val="center"/>
              <w:rPr>
                <w:rFonts w:ascii="Arial" w:eastAsia="Arial" w:hAnsi="Arial" w:cs="Arial"/>
                <w:sz w:val="20"/>
                <w:szCs w:val="20"/>
              </w:rPr>
            </w:pPr>
            <w:r>
              <w:rPr>
                <w:rFonts w:ascii="Arial" w:eastAsia="Arial" w:hAnsi="Arial" w:cs="Arial"/>
                <w:sz w:val="20"/>
                <w:szCs w:val="20"/>
              </w:rPr>
              <w:t>10,9</w:t>
            </w:r>
          </w:p>
        </w:tc>
        <w:tc>
          <w:tcPr>
            <w:tcW w:w="1725" w:type="dxa"/>
            <w:tcBorders>
              <w:top w:val="nil"/>
              <w:left w:val="nil"/>
              <w:bottom w:val="single" w:sz="5" w:space="0" w:color="000000"/>
              <w:right w:val="single" w:sz="5" w:space="0" w:color="000000"/>
            </w:tcBorders>
            <w:tcMar>
              <w:top w:w="0" w:type="dxa"/>
              <w:left w:w="80" w:type="dxa"/>
              <w:bottom w:w="0" w:type="dxa"/>
              <w:right w:w="80" w:type="dxa"/>
            </w:tcMar>
            <w:vAlign w:val="bottom"/>
          </w:tcPr>
          <w:p w14:paraId="000000F6" w14:textId="77777777" w:rsidR="009D7C1F" w:rsidRDefault="00000000">
            <w:pPr>
              <w:spacing w:line="276" w:lineRule="auto"/>
              <w:jc w:val="center"/>
              <w:rPr>
                <w:rFonts w:ascii="Arial" w:eastAsia="Arial" w:hAnsi="Arial" w:cs="Arial"/>
                <w:sz w:val="20"/>
                <w:szCs w:val="20"/>
              </w:rPr>
            </w:pPr>
            <w:r>
              <w:rPr>
                <w:rFonts w:ascii="Arial" w:eastAsia="Arial" w:hAnsi="Arial" w:cs="Arial"/>
                <w:sz w:val="20"/>
                <w:szCs w:val="20"/>
              </w:rPr>
              <w:t>99%</w:t>
            </w:r>
          </w:p>
        </w:tc>
      </w:tr>
    </w:tbl>
    <w:p w14:paraId="000000F7" w14:textId="77777777" w:rsidR="009D7C1F" w:rsidRDefault="009D7C1F">
      <w:pPr>
        <w:jc w:val="both"/>
        <w:rPr>
          <w:rFonts w:ascii="Arial" w:eastAsia="Arial" w:hAnsi="Arial" w:cs="Arial"/>
        </w:rPr>
      </w:pPr>
    </w:p>
    <w:p w14:paraId="000000F8" w14:textId="77777777" w:rsidR="009D7C1F" w:rsidRDefault="009D7C1F">
      <w:pPr>
        <w:jc w:val="both"/>
        <w:rPr>
          <w:rFonts w:ascii="Arial" w:eastAsia="Arial" w:hAnsi="Arial" w:cs="Arial"/>
        </w:rPr>
      </w:pPr>
    </w:p>
    <w:p w14:paraId="000000F9" w14:textId="77777777" w:rsidR="009D7C1F" w:rsidRDefault="00000000">
      <w:pPr>
        <w:numPr>
          <w:ilvl w:val="0"/>
          <w:numId w:val="8"/>
        </w:numPr>
        <w:jc w:val="both"/>
        <w:rPr>
          <w:rFonts w:ascii="Arial" w:eastAsia="Arial" w:hAnsi="Arial" w:cs="Arial"/>
        </w:rPr>
      </w:pPr>
      <w:r>
        <w:rPr>
          <w:rFonts w:ascii="Arial" w:eastAsia="Arial" w:hAnsi="Arial" w:cs="Arial"/>
        </w:rPr>
        <w:t>Indique el número de días en los que se superaron los límites permitidos.</w:t>
      </w:r>
    </w:p>
    <w:p w14:paraId="000000FA" w14:textId="77777777" w:rsidR="009D7C1F" w:rsidRDefault="009D7C1F">
      <w:pPr>
        <w:jc w:val="both"/>
        <w:rPr>
          <w:rFonts w:ascii="Arial" w:eastAsia="Arial" w:hAnsi="Arial" w:cs="Arial"/>
        </w:rPr>
      </w:pPr>
    </w:p>
    <w:p w14:paraId="000000FB" w14:textId="77777777" w:rsidR="009D7C1F" w:rsidRDefault="00000000">
      <w:pPr>
        <w:jc w:val="both"/>
        <w:rPr>
          <w:rFonts w:ascii="Arial" w:eastAsia="Arial" w:hAnsi="Arial" w:cs="Arial"/>
        </w:rPr>
      </w:pPr>
      <w:r>
        <w:rPr>
          <w:rFonts w:ascii="Arial" w:eastAsia="Arial" w:hAnsi="Arial" w:cs="Arial"/>
        </w:rPr>
        <w:t>Para dar un número de días con superación de límites permitidos, se debe hacer referencia al promedio diario (24h) de PM2.5 como lo establece la norma, este valor se encuentra regulado en el Artículo 2 de la Resolución 2254 de 2017 y corresponde a 37 µg/m3, a continuación se presenta el número de excedencia a este valor normativo, por estación de monitoreo durante todo 2025.</w:t>
      </w:r>
    </w:p>
    <w:p w14:paraId="000000FC" w14:textId="77777777" w:rsidR="009D7C1F" w:rsidRDefault="009D7C1F">
      <w:pPr>
        <w:jc w:val="both"/>
        <w:rPr>
          <w:rFonts w:ascii="Arial" w:eastAsia="Arial" w:hAnsi="Arial" w:cs="Arial"/>
        </w:rPr>
      </w:pPr>
    </w:p>
    <w:p w14:paraId="000000FD" w14:textId="77777777" w:rsidR="009D7C1F" w:rsidRDefault="00000000">
      <w:pPr>
        <w:jc w:val="both"/>
        <w:rPr>
          <w:rFonts w:ascii="Arial" w:eastAsia="Arial" w:hAnsi="Arial" w:cs="Arial"/>
        </w:rPr>
      </w:pPr>
      <w:r>
        <w:rPr>
          <w:rFonts w:ascii="Arial" w:eastAsia="Arial" w:hAnsi="Arial" w:cs="Arial"/>
        </w:rPr>
        <w:t>Bolivia (1), Carvajal (85), Ciudad Bolívar (3), Fontibón (1), Jazmín (4), Kennedy (4), Las Ferias (2), MinAmbiente (1), Móvil Fontibón (2), Tunal (2), Usme (2). Las demás estaciones de la RMCAB no registraron excedencias al promedio 24h, en 2025.</w:t>
      </w:r>
    </w:p>
    <w:p w14:paraId="000000FE" w14:textId="77777777" w:rsidR="009D7C1F" w:rsidRDefault="009D7C1F">
      <w:pPr>
        <w:jc w:val="both"/>
        <w:rPr>
          <w:rFonts w:ascii="Arial" w:eastAsia="Arial" w:hAnsi="Arial" w:cs="Arial"/>
        </w:rPr>
      </w:pPr>
    </w:p>
    <w:p w14:paraId="000000FF" w14:textId="77777777" w:rsidR="009D7C1F" w:rsidRDefault="00000000">
      <w:pPr>
        <w:numPr>
          <w:ilvl w:val="0"/>
          <w:numId w:val="8"/>
        </w:numPr>
        <w:jc w:val="both"/>
        <w:rPr>
          <w:rFonts w:ascii="Arial" w:eastAsia="Arial" w:hAnsi="Arial" w:cs="Arial"/>
        </w:rPr>
      </w:pPr>
      <w:r>
        <w:rPr>
          <w:rFonts w:ascii="Arial" w:eastAsia="Arial" w:hAnsi="Arial" w:cs="Arial"/>
        </w:rPr>
        <w:t>Compare los valores registrados con los estándares nacionales y de la OMS, durante la vigencia del 2025.</w:t>
      </w:r>
    </w:p>
    <w:p w14:paraId="00000100" w14:textId="77777777" w:rsidR="009D7C1F" w:rsidRDefault="009D7C1F">
      <w:pPr>
        <w:jc w:val="both"/>
        <w:rPr>
          <w:rFonts w:ascii="Arial" w:eastAsia="Arial" w:hAnsi="Arial" w:cs="Arial"/>
        </w:rPr>
      </w:pPr>
    </w:p>
    <w:p w14:paraId="00000101" w14:textId="77777777" w:rsidR="009D7C1F" w:rsidRDefault="00000000">
      <w:pPr>
        <w:jc w:val="both"/>
        <w:rPr>
          <w:rFonts w:ascii="Arial" w:eastAsia="Arial" w:hAnsi="Arial" w:cs="Arial"/>
          <w:i/>
          <w:iCs/>
        </w:rPr>
      </w:pPr>
      <w:r>
        <w:rPr>
          <w:rFonts w:ascii="Arial" w:eastAsia="Arial" w:hAnsi="Arial" w:cs="Arial"/>
        </w:rPr>
        <w:t>El promedio ponderado anual ciudad no es comparable con estándares nacionales o de la OMS, debido a su métrica de cálculo. Las comparaciones de estándares normativos deben realizarse por punto de monitoreo y no con promedios de varios puntos, como es el caso del promedio de ciudad o el promedio ponderado, tal como lo establece la Resolución 2254 de 2017 en el Artículo 2</w:t>
      </w:r>
      <w:r>
        <w:rPr>
          <w:rFonts w:ascii="Arial" w:eastAsia="Arial" w:hAnsi="Arial" w:cs="Arial"/>
          <w:i/>
          <w:iCs/>
        </w:rPr>
        <w:t xml:space="preserve"> </w:t>
      </w:r>
      <w:r>
        <w:rPr>
          <w:rFonts w:ascii="Arial" w:eastAsia="Arial" w:hAnsi="Arial" w:cs="Arial"/>
          <w:b/>
          <w:bCs/>
          <w:i/>
          <w:iCs/>
          <w:color w:val="333333"/>
          <w:highlight w:val="white"/>
        </w:rPr>
        <w:t>Parágrafo 2°.</w:t>
      </w:r>
      <w:r>
        <w:rPr>
          <w:rFonts w:ascii="Arial" w:eastAsia="Arial" w:hAnsi="Arial" w:cs="Arial"/>
          <w:i/>
          <w:iCs/>
          <w:color w:val="333333"/>
          <w:highlight w:val="white"/>
        </w:rPr>
        <w:t xml:space="preserve"> Para verificar el cumplimiento de los niveles máximos permisibles establecidos en la Tabla número 1, la concentración de los contaminantes del aire </w:t>
      </w:r>
      <w:r>
        <w:rPr>
          <w:rFonts w:ascii="Arial" w:eastAsia="Arial" w:hAnsi="Arial" w:cs="Arial"/>
          <w:i/>
          <w:iCs/>
          <w:color w:val="333333"/>
          <w:highlight w:val="white"/>
          <w:u w:val="single"/>
        </w:rPr>
        <w:t>deberá evaluarse por cada punto de monitoreo</w:t>
      </w:r>
      <w:r>
        <w:rPr>
          <w:rFonts w:ascii="Arial" w:eastAsia="Arial" w:hAnsi="Arial" w:cs="Arial"/>
          <w:i/>
          <w:iCs/>
          <w:color w:val="333333"/>
          <w:highlight w:val="white"/>
        </w:rPr>
        <w:t>. El promedio de concentraciones de diferentes puntos de monitoreo no será válido para evaluar el cumplimiento de dichos niveles.</w:t>
      </w:r>
    </w:p>
    <w:p w14:paraId="00000102" w14:textId="77777777" w:rsidR="009D7C1F" w:rsidRDefault="009D7C1F">
      <w:pPr>
        <w:jc w:val="both"/>
        <w:rPr>
          <w:rFonts w:ascii="Arial" w:eastAsia="Arial" w:hAnsi="Arial" w:cs="Arial"/>
        </w:rPr>
      </w:pPr>
    </w:p>
    <w:p w14:paraId="00000103" w14:textId="77777777" w:rsidR="009D7C1F" w:rsidRDefault="00000000">
      <w:pPr>
        <w:jc w:val="both"/>
        <w:rPr>
          <w:rFonts w:ascii="Arial" w:eastAsia="Arial" w:hAnsi="Arial" w:cs="Arial"/>
        </w:rPr>
      </w:pPr>
      <w:r>
        <w:rPr>
          <w:rFonts w:ascii="Arial" w:eastAsia="Arial" w:hAnsi="Arial" w:cs="Arial"/>
        </w:rPr>
        <w:t>Conforme lo anterior, los promedios anuales por estación presentados en el punto 3, SI son comparables con el nivel máximo permisible de PM2.5 para el tiempo de exposición anual establecido en el Artículo 2 de la Resolución 2254 de 2017, el cual es de 25 µg/m3, así mismo, se realiza comparación con metas intermedias y el valor guía de la OMS, a continuación se presenta gráficamente esta comparación:</w:t>
      </w:r>
    </w:p>
    <w:p w14:paraId="00000104" w14:textId="77777777" w:rsidR="009D7C1F" w:rsidRDefault="009D7C1F">
      <w:pPr>
        <w:jc w:val="both"/>
        <w:rPr>
          <w:rFonts w:ascii="Arial" w:eastAsia="Arial" w:hAnsi="Arial" w:cs="Arial"/>
        </w:rPr>
      </w:pPr>
    </w:p>
    <w:p w14:paraId="00000105" w14:textId="77777777" w:rsidR="009D7C1F" w:rsidRDefault="00000000">
      <w:pPr>
        <w:jc w:val="center"/>
        <w:rPr>
          <w:rFonts w:ascii="Arial" w:eastAsia="Arial" w:hAnsi="Arial" w:cs="Arial"/>
        </w:rPr>
      </w:pPr>
      <w:r>
        <w:rPr>
          <w:rFonts w:ascii="Arial" w:eastAsia="Arial" w:hAnsi="Arial" w:cs="Arial"/>
          <w:noProof/>
        </w:rPr>
        <w:drawing>
          <wp:inline distT="114300" distB="114300" distL="114300" distR="114300" wp14:anchorId="1B2C10FF" wp14:editId="0494CC53">
            <wp:extent cx="4390708" cy="2579651"/>
            <wp:effectExtent l="0" t="0" r="0" b="0"/>
            <wp:docPr id="8"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9"/>
                    <a:srcRect/>
                    <a:stretch>
                      <a:fillRect/>
                    </a:stretch>
                  </pic:blipFill>
                  <pic:spPr>
                    <a:xfrm>
                      <a:off x="0" y="0"/>
                      <a:ext cx="4390708" cy="2579651"/>
                    </a:xfrm>
                    <a:prstGeom prst="rect">
                      <a:avLst/>
                    </a:prstGeom>
                    <a:ln/>
                  </pic:spPr>
                </pic:pic>
              </a:graphicData>
            </a:graphic>
          </wp:inline>
        </w:drawing>
      </w:r>
    </w:p>
    <w:p w14:paraId="00000106" w14:textId="77777777" w:rsidR="009D7C1F" w:rsidRDefault="009D7C1F">
      <w:pPr>
        <w:jc w:val="both"/>
        <w:rPr>
          <w:rFonts w:ascii="Arial" w:eastAsia="Arial" w:hAnsi="Arial" w:cs="Arial"/>
        </w:rPr>
      </w:pPr>
    </w:p>
    <w:p w14:paraId="00000107" w14:textId="77777777" w:rsidR="009D7C1F" w:rsidRDefault="00000000">
      <w:pPr>
        <w:jc w:val="both"/>
        <w:rPr>
          <w:rFonts w:ascii="Arial" w:eastAsia="Arial" w:hAnsi="Arial" w:cs="Arial"/>
        </w:rPr>
      </w:pPr>
      <w:r>
        <w:rPr>
          <w:rFonts w:ascii="Arial" w:eastAsia="Arial" w:hAnsi="Arial" w:cs="Arial"/>
        </w:rPr>
        <w:t xml:space="preserve">En la gráfica se observa que 18 estaciones de monitoreo cumplen con el valor máximo permisible de la Resolución 2254, entre tanto, solo Carvajal-Sevillana no cumple este valor, debido a que hay emisiones cercanas de vías primarias e industrias principalmente, que inciden en la concentración de este contaminante de forma muy focalizada. </w:t>
      </w:r>
    </w:p>
    <w:p w14:paraId="00000108" w14:textId="77777777" w:rsidR="009D7C1F" w:rsidRDefault="009D7C1F">
      <w:pPr>
        <w:jc w:val="both"/>
        <w:rPr>
          <w:rFonts w:ascii="Arial" w:eastAsia="Arial" w:hAnsi="Arial" w:cs="Arial"/>
        </w:rPr>
      </w:pPr>
    </w:p>
    <w:p w14:paraId="00000109" w14:textId="77777777" w:rsidR="009D7C1F" w:rsidRDefault="00000000">
      <w:pPr>
        <w:jc w:val="both"/>
        <w:rPr>
          <w:rFonts w:ascii="Arial" w:eastAsia="Arial" w:hAnsi="Arial" w:cs="Arial"/>
          <w:i/>
          <w:iCs/>
        </w:rPr>
      </w:pPr>
      <w:r>
        <w:rPr>
          <w:rFonts w:ascii="Arial" w:eastAsia="Arial" w:hAnsi="Arial" w:cs="Arial"/>
        </w:rPr>
        <w:t xml:space="preserve">Por otro lado, es preciso indicar que Las Guías de Calidad del Aire de la OMS de 2021 (WHO Global Air Quality Guidelines, AQG 2021) tanto metas intermedias como valor guía son recomendaciones basadas en la evidencia científica sobre los niveles de concentración de contaminantes atmosféricos que deberían cumplirse para proteger la salud humana, así mismo, </w:t>
      </w:r>
      <w:r>
        <w:rPr>
          <w:rFonts w:ascii="Arial" w:eastAsia="Arial" w:hAnsi="Arial" w:cs="Arial"/>
          <w:u w:val="single"/>
        </w:rPr>
        <w:t xml:space="preserve">NO son estándares jurídicos, sino un instrumento orientador para políticas públicas, regulación y manejo del aire limpio, </w:t>
      </w:r>
      <w:r>
        <w:rPr>
          <w:rFonts w:ascii="Arial" w:eastAsia="Arial" w:hAnsi="Arial" w:cs="Arial"/>
        </w:rPr>
        <w:t>así mismo, la OMS establece que se</w:t>
      </w:r>
      <w:r>
        <w:rPr>
          <w:rFonts w:ascii="Arial" w:eastAsia="Arial" w:hAnsi="Arial" w:cs="Arial"/>
          <w:sz w:val="22"/>
          <w:szCs w:val="22"/>
          <w:highlight w:val="white"/>
        </w:rPr>
        <w:t>…</w:t>
      </w:r>
      <w:r>
        <w:rPr>
          <w:rFonts w:ascii="Arial" w:eastAsia="Arial" w:hAnsi="Arial" w:cs="Arial"/>
        </w:rPr>
        <w:t xml:space="preserve"> </w:t>
      </w:r>
      <w:r>
        <w:rPr>
          <w:rFonts w:ascii="Arial" w:eastAsia="Arial" w:hAnsi="Arial" w:cs="Arial"/>
          <w:i/>
          <w:iCs/>
        </w:rPr>
        <w:t xml:space="preserve">pueden utilizar para elaborar políticas de reducción de la contaminación que pueden cumplirse en </w:t>
      </w:r>
      <w:r>
        <w:rPr>
          <w:rFonts w:ascii="Arial" w:eastAsia="Arial" w:hAnsi="Arial" w:cs="Arial"/>
          <w:i/>
          <w:iCs/>
          <w:u w:val="single"/>
        </w:rPr>
        <w:t>plazos realistas</w:t>
      </w:r>
      <w:r>
        <w:rPr>
          <w:rFonts w:ascii="Arial" w:eastAsia="Arial" w:hAnsi="Arial" w:cs="Arial"/>
          <w:i/>
          <w:iCs/>
        </w:rPr>
        <w:t>. Así, las metas intermedias deberían considerarse como pasos para lograr en el futuro los niveles de las directrices y no como objetivos finales.</w:t>
      </w:r>
    </w:p>
    <w:p w14:paraId="0000010A" w14:textId="77777777" w:rsidR="009D7C1F" w:rsidRDefault="009D7C1F">
      <w:pPr>
        <w:jc w:val="both"/>
        <w:rPr>
          <w:rFonts w:ascii="Arial" w:eastAsia="Arial" w:hAnsi="Arial" w:cs="Arial"/>
        </w:rPr>
      </w:pPr>
    </w:p>
    <w:p w14:paraId="0000010B" w14:textId="77777777" w:rsidR="009D7C1F" w:rsidRDefault="009D7C1F">
      <w:pPr>
        <w:jc w:val="both"/>
        <w:rPr>
          <w:rFonts w:ascii="Arial" w:eastAsia="Arial" w:hAnsi="Arial" w:cs="Arial"/>
        </w:rPr>
      </w:pPr>
    </w:p>
    <w:p w14:paraId="0000010C" w14:textId="77777777" w:rsidR="009D7C1F" w:rsidRDefault="00000000">
      <w:pPr>
        <w:numPr>
          <w:ilvl w:val="0"/>
          <w:numId w:val="8"/>
        </w:numPr>
        <w:jc w:val="both"/>
        <w:rPr>
          <w:rFonts w:ascii="Arial" w:eastAsia="Arial" w:hAnsi="Arial" w:cs="Arial"/>
        </w:rPr>
      </w:pPr>
      <w:r>
        <w:rPr>
          <w:rFonts w:ascii="Arial" w:eastAsia="Arial" w:hAnsi="Arial" w:cs="Arial"/>
        </w:rPr>
        <w:t xml:space="preserve">Señale las principales </w:t>
      </w:r>
      <w:sdt>
        <w:sdtPr>
          <w:tag w:val="goog_rdk_6"/>
          <w:id w:val="-1094783818"/>
        </w:sdtPr>
        <w:sdtContent>
          <w:commentRangeStart w:id="8"/>
        </w:sdtContent>
      </w:sdt>
      <w:sdt>
        <w:sdtPr>
          <w:tag w:val="goog_rdk_7"/>
          <w:id w:val="1267290734"/>
        </w:sdtPr>
        <w:sdtContent>
          <w:commentRangeStart w:id="9"/>
        </w:sdtContent>
      </w:sdt>
      <w:r>
        <w:rPr>
          <w:rFonts w:ascii="Arial" w:eastAsia="Arial" w:hAnsi="Arial" w:cs="Arial"/>
        </w:rPr>
        <w:t>fuentes de emisión identificada</w:t>
      </w:r>
      <w:commentRangeEnd w:id="8"/>
      <w:r>
        <w:rPr>
          <w:rStyle w:val="Refdecomentario"/>
          <w:rFonts w:ascii="Arial" w:eastAsia="Arial" w:hAnsi="Arial" w:cs="Arial"/>
          <w:sz w:val="24"/>
          <w:szCs w:val="24"/>
        </w:rPr>
        <w:commentReference w:id="8"/>
      </w:r>
      <w:commentRangeEnd w:id="9"/>
      <w:r>
        <w:rPr>
          <w:rStyle w:val="Refdecomentario"/>
          <w:rFonts w:ascii="Arial" w:eastAsia="Arial" w:hAnsi="Arial" w:cs="Arial"/>
          <w:sz w:val="24"/>
          <w:szCs w:val="24"/>
        </w:rPr>
        <w:commentReference w:id="9"/>
      </w:r>
      <w:r>
        <w:rPr>
          <w:rFonts w:ascii="Arial" w:eastAsia="Arial" w:hAnsi="Arial" w:cs="Arial"/>
        </w:rPr>
        <w:t xml:space="preserve">s y las </w:t>
      </w:r>
      <w:sdt>
        <w:sdtPr>
          <w:tag w:val="goog_rdk_8"/>
          <w:id w:val="2089513473"/>
        </w:sdtPr>
        <w:sdtContent>
          <w:commentRangeStart w:id="10"/>
        </w:sdtContent>
      </w:sdt>
      <w:r>
        <w:rPr>
          <w:rFonts w:ascii="Arial" w:eastAsia="Arial" w:hAnsi="Arial" w:cs="Arial"/>
        </w:rPr>
        <w:t>acciones de mitigación implementadas</w:t>
      </w:r>
      <w:commentRangeEnd w:id="10"/>
      <w:r>
        <w:rPr>
          <w:rStyle w:val="Refdecomentario"/>
          <w:rFonts w:ascii="Arial" w:eastAsia="Arial" w:hAnsi="Arial" w:cs="Arial"/>
          <w:sz w:val="24"/>
          <w:szCs w:val="24"/>
        </w:rPr>
        <w:commentReference w:id="10"/>
      </w:r>
      <w:r>
        <w:rPr>
          <w:rFonts w:ascii="Arial" w:eastAsia="Arial" w:hAnsi="Arial" w:cs="Arial"/>
        </w:rPr>
        <w:t>.</w:t>
      </w:r>
    </w:p>
    <w:p w14:paraId="0000010D" w14:textId="77777777" w:rsidR="009D7C1F" w:rsidRDefault="009D7C1F">
      <w:pPr>
        <w:jc w:val="both"/>
        <w:rPr>
          <w:rFonts w:ascii="Arial" w:eastAsia="Arial" w:hAnsi="Arial" w:cs="Arial"/>
        </w:rPr>
      </w:pPr>
    </w:p>
    <w:p w14:paraId="0000010E" w14:textId="77777777" w:rsidR="009D7C1F" w:rsidRDefault="00000000">
      <w:pPr>
        <w:spacing w:before="240" w:after="240"/>
        <w:jc w:val="both"/>
        <w:rPr>
          <w:rFonts w:ascii="Arial" w:eastAsia="Arial" w:hAnsi="Arial" w:cs="Arial"/>
          <w:sz w:val="22"/>
          <w:szCs w:val="22"/>
        </w:rPr>
      </w:pPr>
      <w:r>
        <w:rPr>
          <w:rFonts w:ascii="Arial" w:eastAsia="Arial" w:hAnsi="Arial" w:cs="Arial"/>
          <w:sz w:val="22"/>
          <w:szCs w:val="22"/>
        </w:rPr>
        <w:t>De acuerdo con el Inventario de Emisiones de Bogotá 2023, las principales fuentes de emisión de material particulado fino (PM2.5) en la ciudad corresponden a la resuspensión de material en vías, las fuentes móviles en carretera, el desgaste de frenos y llantas, la operación de maquinaria fuera de carretera y la manipulación de materiales en actividades de construcción y canteras. La resuspensión de material particulado generada por el tránsito vehicular sobre las vías constituye la mayor contribución, especialmente en vías secundarias y en sectores donde el estado de la malla vial favorece la acumulación de polvo.</w:t>
      </w:r>
    </w:p>
    <w:p w14:paraId="0000010F" w14:textId="77777777" w:rsidR="009D7C1F" w:rsidRDefault="00000000">
      <w:pPr>
        <w:spacing w:before="240" w:after="240"/>
        <w:jc w:val="both"/>
        <w:rPr>
          <w:rFonts w:ascii="Arial" w:eastAsia="Arial" w:hAnsi="Arial" w:cs="Arial"/>
          <w:sz w:val="22"/>
          <w:szCs w:val="22"/>
        </w:rPr>
      </w:pPr>
      <w:r>
        <w:rPr>
          <w:rFonts w:ascii="Arial" w:eastAsia="Arial" w:hAnsi="Arial" w:cs="Arial"/>
          <w:sz w:val="22"/>
          <w:szCs w:val="22"/>
        </w:rPr>
        <w:t>Las emisiones por combustión en fuentes móviles en carretera representan otra fracción importante, asociadas principalmente a camiones, buses, motocicletas y vehículos livianos. A estas se suman las emisiones no asociadas al escape, como el desgaste de frenos y llantas, así como las generadas por maquinaria amarilla y equipos fuera de carretera, utilizados en actividades de construcción y operación industrial. También se identifican emisiones por manipulación de materiales, especialmente en obras civiles, mantenimiento de vías y explotación de canteras, y en menor proporción emisiones provenientes de fuentes fijas industriales, quemas e incendios y fuentes residenciales.</w:t>
      </w:r>
    </w:p>
    <w:p w14:paraId="00000110" w14:textId="77777777" w:rsidR="009D7C1F" w:rsidRDefault="00000000">
      <w:pPr>
        <w:spacing w:before="240" w:after="240"/>
        <w:jc w:val="both"/>
        <w:rPr>
          <w:rFonts w:ascii="Arial" w:eastAsia="Arial" w:hAnsi="Arial" w:cs="Arial"/>
          <w:sz w:val="22"/>
          <w:szCs w:val="22"/>
        </w:rPr>
      </w:pPr>
      <w:r>
        <w:rPr>
          <w:rFonts w:ascii="Arial" w:eastAsia="Arial" w:hAnsi="Arial" w:cs="Arial"/>
          <w:sz w:val="22"/>
          <w:szCs w:val="22"/>
        </w:rPr>
        <w:t>La caracterización de estas fuentes permite establecer el diagnóstico técnico del origen de las emisiones de PM2.5 en la ciudad y constituye la base para el análisis de la calidad del aire y la definición de medidas de gestión ambiental.</w:t>
      </w:r>
    </w:p>
    <w:p w14:paraId="00000111" w14:textId="77777777" w:rsidR="009D7C1F" w:rsidRDefault="009D7C1F">
      <w:pPr>
        <w:jc w:val="both"/>
        <w:rPr>
          <w:rFonts w:ascii="Arial" w:eastAsia="Arial" w:hAnsi="Arial" w:cs="Arial"/>
        </w:rPr>
      </w:pPr>
    </w:p>
    <w:p w14:paraId="00000112" w14:textId="77777777" w:rsidR="009D7C1F" w:rsidRDefault="009D7C1F">
      <w:pPr>
        <w:jc w:val="both"/>
        <w:rPr>
          <w:rFonts w:ascii="Arial" w:eastAsia="Arial" w:hAnsi="Arial" w:cs="Arial"/>
        </w:rPr>
      </w:pPr>
    </w:p>
    <w:p w14:paraId="00000113" w14:textId="77777777" w:rsidR="009D7C1F" w:rsidRDefault="00000000">
      <w:pPr>
        <w:numPr>
          <w:ilvl w:val="0"/>
          <w:numId w:val="8"/>
        </w:numPr>
        <w:jc w:val="both"/>
        <w:rPr>
          <w:rFonts w:ascii="Arial" w:eastAsia="Arial" w:hAnsi="Arial" w:cs="Arial"/>
        </w:rPr>
      </w:pPr>
      <w:r>
        <w:rPr>
          <w:rFonts w:ascii="Arial" w:eastAsia="Arial" w:hAnsi="Arial" w:cs="Arial"/>
        </w:rPr>
        <w:t>Informe cómo se posiciona la concentración promedio ponderada anual de PM2,5 en Bogotá durante la vigencia del 2016 hasta el 2026, frente al promedio de Sur América, Centro América, Estados Unidos, México, Canadá y Europa.</w:t>
      </w:r>
    </w:p>
    <w:p w14:paraId="00000114" w14:textId="77777777" w:rsidR="009D7C1F" w:rsidRDefault="009D7C1F">
      <w:pPr>
        <w:jc w:val="both"/>
        <w:rPr>
          <w:rFonts w:ascii="Arial" w:eastAsia="Arial" w:hAnsi="Arial" w:cs="Arial"/>
        </w:rPr>
      </w:pPr>
    </w:p>
    <w:p w14:paraId="00000115" w14:textId="77777777" w:rsidR="009D7C1F" w:rsidRDefault="00000000">
      <w:pPr>
        <w:jc w:val="both"/>
        <w:rPr>
          <w:rFonts w:ascii="Arial" w:eastAsia="Arial" w:hAnsi="Arial" w:cs="Arial"/>
        </w:rPr>
      </w:pPr>
      <w:r>
        <w:rPr>
          <w:rFonts w:ascii="Arial" w:eastAsia="Arial" w:hAnsi="Arial" w:cs="Arial"/>
        </w:rPr>
        <w:t>La concentración promedio ponderado anual de PM2.5 calculado por la SDA, no es comparable con métricas o indicadores de otros países, dado que como se explicó los factores de ponderación obedecen a criterios de distribución de la población urbana en Bogotá y la metodología de cálculo es específica.</w:t>
      </w:r>
    </w:p>
    <w:p w14:paraId="00000116" w14:textId="77777777" w:rsidR="009D7C1F" w:rsidRDefault="009D7C1F">
      <w:pPr>
        <w:jc w:val="both"/>
        <w:rPr>
          <w:rFonts w:ascii="Arial" w:eastAsia="Arial" w:hAnsi="Arial" w:cs="Arial"/>
        </w:rPr>
      </w:pPr>
    </w:p>
    <w:p w14:paraId="00000117" w14:textId="77777777" w:rsidR="009D7C1F" w:rsidRDefault="00000000">
      <w:pPr>
        <w:jc w:val="both"/>
        <w:rPr>
          <w:rFonts w:ascii="Arial" w:eastAsia="Arial" w:hAnsi="Arial" w:cs="Arial"/>
        </w:rPr>
      </w:pPr>
      <w:r>
        <w:rPr>
          <w:rFonts w:ascii="Arial" w:eastAsia="Arial" w:hAnsi="Arial" w:cs="Arial"/>
        </w:rPr>
        <w:t>Por otro lado, los promedios a nivel de ciudad (sin factores de ponderación) podrían ser indicativos a nivel internacional de condiciones generales en materia de contaminantes de calidad del aire. Sin embargo, se requeriría realizar los cálculos para cada ciudad con una metodología igual o equivalente, con el fin de que sean comparables, así mismo, la Secretaría Distrital de Ambiente no tiene la función de realizar este tipo de análisis en el ámbito internacional.</w:t>
      </w:r>
    </w:p>
    <w:p w14:paraId="00000118" w14:textId="77777777" w:rsidR="009D7C1F" w:rsidRDefault="009D7C1F">
      <w:pPr>
        <w:jc w:val="both"/>
        <w:rPr>
          <w:rFonts w:ascii="Arial" w:eastAsia="Arial" w:hAnsi="Arial" w:cs="Arial"/>
        </w:rPr>
      </w:pPr>
    </w:p>
    <w:p w14:paraId="00000119" w14:textId="77777777" w:rsidR="009D7C1F" w:rsidRDefault="00000000">
      <w:pPr>
        <w:numPr>
          <w:ilvl w:val="0"/>
          <w:numId w:val="8"/>
        </w:numPr>
        <w:spacing w:after="280"/>
        <w:jc w:val="both"/>
        <w:rPr>
          <w:rFonts w:ascii="Arial" w:eastAsia="Arial" w:hAnsi="Arial" w:cs="Arial"/>
        </w:rPr>
      </w:pPr>
      <w:r>
        <w:rPr>
          <w:rFonts w:ascii="Arial" w:eastAsia="Arial" w:hAnsi="Arial" w:cs="Arial"/>
        </w:rPr>
        <w:t>Informe cómo se posiciona la concentración promedio ponderada anual de PM2,5 en Bogotá durante la vigencia del 2016 hasta el 2026, frente al promedio de los países de la Organización para la Cooperación y el Desarrollo Económicos (OCDE).</w:t>
      </w:r>
    </w:p>
    <w:p w14:paraId="0000011A" w14:textId="77777777" w:rsidR="009D7C1F" w:rsidRDefault="00000000">
      <w:pPr>
        <w:jc w:val="both"/>
        <w:rPr>
          <w:rFonts w:ascii="Arial" w:eastAsia="Arial" w:hAnsi="Arial" w:cs="Arial"/>
        </w:rPr>
      </w:pPr>
      <w:r>
        <w:rPr>
          <w:rFonts w:ascii="Arial" w:eastAsia="Arial" w:hAnsi="Arial" w:cs="Arial"/>
        </w:rPr>
        <w:t>Como se menciona en el punto anterior, la concentración promedio ponderado anual de PM2.5, no es comparable con métricas o indicadores de otros países, dado que como se explicó los factores de ponderación obedecen a criterios de distribución de la población urbana en Bogotá y la metodología de cálculo es específica.</w:t>
      </w:r>
    </w:p>
    <w:p w14:paraId="0000011B" w14:textId="77777777" w:rsidR="009D7C1F" w:rsidRDefault="009D7C1F">
      <w:pPr>
        <w:jc w:val="both"/>
        <w:rPr>
          <w:rFonts w:ascii="Arial" w:eastAsia="Arial" w:hAnsi="Arial" w:cs="Arial"/>
        </w:rPr>
      </w:pPr>
    </w:p>
    <w:p w14:paraId="0000011C" w14:textId="77777777" w:rsidR="009D7C1F" w:rsidRDefault="00000000">
      <w:pPr>
        <w:jc w:val="both"/>
        <w:rPr>
          <w:rFonts w:ascii="Arial" w:eastAsia="Arial" w:hAnsi="Arial" w:cs="Arial"/>
        </w:rPr>
      </w:pPr>
      <w:r>
        <w:rPr>
          <w:rFonts w:ascii="Arial" w:eastAsia="Arial" w:hAnsi="Arial" w:cs="Arial"/>
        </w:rPr>
        <w:t xml:space="preserve">Si bien en la web, se encuentran sitios web oficiales y no oficiales que publican cifras e indicadores de calidad del aire de diferentes países, al revisar la metodología de cálculo (cuando está disponible) puede combinar diferentes metodologías a partir de monitoreo, bases de datos, modelos satelitales, entre otros, son estos mismos sitios u organizaciones los que ofrecen comparativos entre distintos países, como por ejemplo en el sitio web de la </w:t>
      </w:r>
      <w:hyperlink r:id="rId20">
        <w:r>
          <w:rPr>
            <w:rFonts w:ascii="Arial" w:eastAsia="Arial" w:hAnsi="Arial" w:cs="Arial"/>
            <w:color w:val="1155CC"/>
            <w:u w:val="single"/>
          </w:rPr>
          <w:t>oecd.org</w:t>
        </w:r>
      </w:hyperlink>
      <w:r>
        <w:rPr>
          <w:rFonts w:ascii="Arial" w:eastAsia="Arial" w:hAnsi="Arial" w:cs="Arial"/>
        </w:rPr>
        <w:t>:</w:t>
      </w:r>
    </w:p>
    <w:p w14:paraId="0000011D" w14:textId="77777777" w:rsidR="009D7C1F" w:rsidRDefault="009D7C1F">
      <w:pPr>
        <w:jc w:val="both"/>
        <w:rPr>
          <w:rFonts w:ascii="Arial" w:eastAsia="Arial" w:hAnsi="Arial" w:cs="Arial"/>
        </w:rPr>
      </w:pPr>
    </w:p>
    <w:p w14:paraId="0000011E" w14:textId="77777777" w:rsidR="009D7C1F" w:rsidRDefault="00000000">
      <w:pPr>
        <w:jc w:val="both"/>
        <w:rPr>
          <w:rFonts w:ascii="Arial" w:eastAsia="Arial" w:hAnsi="Arial" w:cs="Arial"/>
        </w:rPr>
      </w:pPr>
      <w:r>
        <w:rPr>
          <w:rFonts w:ascii="Arial" w:eastAsia="Arial" w:hAnsi="Arial" w:cs="Arial"/>
        </w:rPr>
        <w:t>Dashboard:</w:t>
      </w:r>
    </w:p>
    <w:p w14:paraId="0000011F" w14:textId="77777777" w:rsidR="009D7C1F" w:rsidRDefault="00000000">
      <w:pPr>
        <w:jc w:val="both"/>
        <w:rPr>
          <w:rFonts w:ascii="Arial" w:eastAsia="Arial" w:hAnsi="Arial" w:cs="Arial"/>
        </w:rPr>
      </w:pPr>
      <w:hyperlink r:id="rId21">
        <w:r>
          <w:rPr>
            <w:rFonts w:ascii="Arial" w:eastAsia="Arial" w:hAnsi="Arial" w:cs="Arial"/>
            <w:color w:val="1155CC"/>
            <w:u w:val="single"/>
          </w:rPr>
          <w:t>https://www.oecd.org/en/data/dashboards/environment-at-a-glance.html?oecdcontrol-chart-control-4cd72b7152-var1=COL</w:t>
        </w:r>
      </w:hyperlink>
    </w:p>
    <w:p w14:paraId="00000120" w14:textId="77777777" w:rsidR="009D7C1F" w:rsidRDefault="009D7C1F">
      <w:pPr>
        <w:jc w:val="both"/>
        <w:rPr>
          <w:rFonts w:ascii="Arial" w:eastAsia="Arial" w:hAnsi="Arial" w:cs="Arial"/>
        </w:rPr>
      </w:pPr>
    </w:p>
    <w:p w14:paraId="00000121" w14:textId="77777777" w:rsidR="009D7C1F" w:rsidRDefault="00000000">
      <w:pPr>
        <w:jc w:val="both"/>
        <w:rPr>
          <w:rFonts w:ascii="Arial" w:eastAsia="Arial" w:hAnsi="Arial" w:cs="Arial"/>
        </w:rPr>
      </w:pPr>
      <w:r>
        <w:rPr>
          <w:rFonts w:ascii="Arial" w:eastAsia="Arial" w:hAnsi="Arial" w:cs="Arial"/>
        </w:rPr>
        <w:t>Metodología y resultados:</w:t>
      </w:r>
    </w:p>
    <w:p w14:paraId="00000122" w14:textId="77777777" w:rsidR="009D7C1F" w:rsidRDefault="00000000">
      <w:pPr>
        <w:jc w:val="both"/>
        <w:rPr>
          <w:rFonts w:ascii="Arial" w:eastAsia="Arial" w:hAnsi="Arial" w:cs="Arial"/>
        </w:rPr>
      </w:pPr>
      <w:hyperlink r:id="rId22">
        <w:r>
          <w:rPr>
            <w:rFonts w:ascii="Arial" w:eastAsia="Arial" w:hAnsi="Arial" w:cs="Arial"/>
            <w:color w:val="1155CC"/>
            <w:u w:val="single"/>
          </w:rPr>
          <w:t>https://www.oecd.org/content/dam/oecd/en/publications/reports/2016/08/population-exposure-to-fine-particles_g17a285c/5jlsqs8g1t9r-en.pdf</w:t>
        </w:r>
      </w:hyperlink>
    </w:p>
    <w:p w14:paraId="00000123" w14:textId="77777777" w:rsidR="009D7C1F" w:rsidRDefault="009D7C1F">
      <w:pPr>
        <w:jc w:val="both"/>
        <w:rPr>
          <w:rFonts w:ascii="Arial" w:eastAsia="Arial" w:hAnsi="Arial" w:cs="Arial"/>
        </w:rPr>
      </w:pPr>
    </w:p>
    <w:p w14:paraId="00000124" w14:textId="77777777" w:rsidR="009D7C1F" w:rsidRDefault="009D7C1F">
      <w:pPr>
        <w:jc w:val="both"/>
        <w:rPr>
          <w:rFonts w:ascii="Arial" w:eastAsia="Arial" w:hAnsi="Arial" w:cs="Arial"/>
        </w:rPr>
      </w:pPr>
    </w:p>
    <w:p w14:paraId="00000125" w14:textId="77777777" w:rsidR="009D7C1F" w:rsidRDefault="00000000">
      <w:pPr>
        <w:spacing w:before="280" w:after="280"/>
        <w:jc w:val="both"/>
        <w:rPr>
          <w:rFonts w:ascii="Arial" w:eastAsia="Arial" w:hAnsi="Arial" w:cs="Arial"/>
          <w:b/>
          <w:bCs/>
        </w:rPr>
      </w:pPr>
      <w:r>
        <w:rPr>
          <w:rFonts w:ascii="Arial" w:eastAsia="Arial" w:hAnsi="Arial" w:cs="Arial"/>
          <w:b/>
          <w:bCs/>
        </w:rPr>
        <w:t xml:space="preserve">Porcentaje de puntos de monitoreo con Índice de Calidad del Agua (ICA) en categoría regular, aceptable o buena: </w:t>
      </w:r>
      <w:r>
        <w:rPr>
          <w:rFonts w:ascii="Arial" w:eastAsia="Arial" w:hAnsi="Arial" w:cs="Arial"/>
          <w:b/>
          <w:bCs/>
          <w:highlight w:val="yellow"/>
        </w:rPr>
        <w:t>(Subdirección encargada de este bloque de preguntas SRH)</w:t>
      </w:r>
    </w:p>
    <w:p w14:paraId="00000126" w14:textId="77777777" w:rsidR="009D7C1F" w:rsidRDefault="00000000">
      <w:pPr>
        <w:numPr>
          <w:ilvl w:val="0"/>
          <w:numId w:val="9"/>
        </w:numPr>
        <w:spacing w:before="280"/>
        <w:jc w:val="both"/>
        <w:rPr>
          <w:rFonts w:ascii="Arial" w:eastAsia="Arial" w:hAnsi="Arial" w:cs="Arial"/>
        </w:rPr>
      </w:pPr>
      <w:r>
        <w:rPr>
          <w:rFonts w:ascii="Arial" w:eastAsia="Arial" w:hAnsi="Arial" w:cs="Arial"/>
        </w:rPr>
        <w:t>Indique el porcentaje de puntos de monitoreo de calidad del agua que se encuentran en categoría regular, aceptable o buena, correspondiente al último año disponible.</w:t>
      </w:r>
    </w:p>
    <w:p w14:paraId="00000127" w14:textId="77777777" w:rsidR="009D7C1F" w:rsidRDefault="00000000">
      <w:pPr>
        <w:numPr>
          <w:ilvl w:val="0"/>
          <w:numId w:val="9"/>
        </w:numPr>
        <w:jc w:val="both"/>
        <w:rPr>
          <w:rFonts w:ascii="Arial" w:eastAsia="Arial" w:hAnsi="Arial" w:cs="Arial"/>
        </w:rPr>
      </w:pPr>
      <w:r>
        <w:rPr>
          <w:rFonts w:ascii="Arial" w:eastAsia="Arial" w:hAnsi="Arial" w:cs="Arial"/>
        </w:rPr>
        <w:t>Especifique la red de monitoreo utilizada y la metodología del ICA.</w:t>
      </w:r>
    </w:p>
    <w:p w14:paraId="00000128" w14:textId="77777777" w:rsidR="009D7C1F" w:rsidRDefault="00000000">
      <w:pPr>
        <w:numPr>
          <w:ilvl w:val="0"/>
          <w:numId w:val="9"/>
        </w:numPr>
        <w:jc w:val="both"/>
        <w:rPr>
          <w:rFonts w:ascii="Arial" w:eastAsia="Arial" w:hAnsi="Arial" w:cs="Arial"/>
        </w:rPr>
      </w:pPr>
      <w:r>
        <w:rPr>
          <w:rFonts w:ascii="Arial" w:eastAsia="Arial" w:hAnsi="Arial" w:cs="Arial"/>
        </w:rPr>
        <w:t>Presente la evolución histórica del indicador en los últimos 10 años.</w:t>
      </w:r>
    </w:p>
    <w:p w14:paraId="00000129" w14:textId="77777777" w:rsidR="009D7C1F" w:rsidRDefault="00000000">
      <w:pPr>
        <w:numPr>
          <w:ilvl w:val="0"/>
          <w:numId w:val="9"/>
        </w:numPr>
        <w:jc w:val="both"/>
        <w:rPr>
          <w:rFonts w:ascii="Arial" w:eastAsia="Arial" w:hAnsi="Arial" w:cs="Arial"/>
        </w:rPr>
      </w:pPr>
      <w:r>
        <w:rPr>
          <w:rFonts w:ascii="Arial" w:eastAsia="Arial" w:hAnsi="Arial" w:cs="Arial"/>
        </w:rPr>
        <w:t>Desagregue la información por cuenca y cuerpo de agua.</w:t>
      </w:r>
    </w:p>
    <w:p w14:paraId="0000012A" w14:textId="77777777" w:rsidR="009D7C1F" w:rsidRDefault="00000000">
      <w:pPr>
        <w:numPr>
          <w:ilvl w:val="0"/>
          <w:numId w:val="9"/>
        </w:numPr>
        <w:jc w:val="both"/>
        <w:rPr>
          <w:rFonts w:ascii="Arial" w:eastAsia="Arial" w:hAnsi="Arial" w:cs="Arial"/>
        </w:rPr>
      </w:pPr>
      <w:r>
        <w:rPr>
          <w:rFonts w:ascii="Arial" w:eastAsia="Arial" w:hAnsi="Arial" w:cs="Arial"/>
        </w:rPr>
        <w:t>Identifique los puntos críticos con ICA deficiente o muy deficiente.</w:t>
      </w:r>
    </w:p>
    <w:p w14:paraId="0000012B" w14:textId="77777777" w:rsidR="009D7C1F" w:rsidRDefault="00000000">
      <w:pPr>
        <w:numPr>
          <w:ilvl w:val="0"/>
          <w:numId w:val="9"/>
        </w:numPr>
        <w:jc w:val="both"/>
        <w:rPr>
          <w:rFonts w:ascii="Arial" w:eastAsia="Arial" w:hAnsi="Arial" w:cs="Arial"/>
        </w:rPr>
      </w:pPr>
      <w:r>
        <w:rPr>
          <w:rFonts w:ascii="Arial" w:eastAsia="Arial" w:hAnsi="Arial" w:cs="Arial"/>
        </w:rPr>
        <w:t>Señale las acciones de recuperación hídrica implementadas.</w:t>
      </w:r>
    </w:p>
    <w:p w14:paraId="0000012C" w14:textId="77777777" w:rsidR="009D7C1F" w:rsidRDefault="00000000">
      <w:pPr>
        <w:numPr>
          <w:ilvl w:val="0"/>
          <w:numId w:val="9"/>
        </w:numPr>
        <w:jc w:val="both"/>
        <w:rPr>
          <w:rFonts w:ascii="Arial" w:eastAsia="Arial" w:hAnsi="Arial" w:cs="Arial"/>
        </w:rPr>
      </w:pPr>
      <w:r>
        <w:rPr>
          <w:rFonts w:ascii="Arial" w:eastAsia="Arial" w:hAnsi="Arial" w:cs="Arial"/>
        </w:rPr>
        <w:t>Informe cómo se posiciona el porcentaje de puntos de monitoreo con Índice de Calidad del Agua (ICA) en categoría regular, aceptable o buena en Bogotá durante la vigencia del 2016 hasta el 2026, frente al promedio de Sur América, Centro América, Estados Unidos, México, Canadá y Europa.</w:t>
      </w:r>
    </w:p>
    <w:p w14:paraId="0000012D" w14:textId="77777777" w:rsidR="009D7C1F" w:rsidRDefault="00000000">
      <w:pPr>
        <w:numPr>
          <w:ilvl w:val="0"/>
          <w:numId w:val="9"/>
        </w:numPr>
        <w:spacing w:after="280"/>
        <w:jc w:val="both"/>
        <w:rPr>
          <w:rFonts w:ascii="Arial" w:eastAsia="Arial" w:hAnsi="Arial" w:cs="Arial"/>
        </w:rPr>
      </w:pPr>
      <w:r>
        <w:rPr>
          <w:rFonts w:ascii="Arial" w:eastAsia="Arial" w:hAnsi="Arial" w:cs="Arial"/>
        </w:rPr>
        <w:t>Informe cómo se posiciona el porcentaje de puntos de monitoreo con Índice de Calidad del Agua (ICA) en categoría regular, aceptable o buena en Bogotá durante la vigencia del 2016 hasta el 2026, frente al promedio de los países de la Organización para la Cooperación y el Desarrollo Económicos (OCDE).</w:t>
      </w:r>
    </w:p>
    <w:p w14:paraId="0000012E" w14:textId="77777777" w:rsidR="009D7C1F" w:rsidRDefault="00000000">
      <w:pPr>
        <w:spacing w:before="280" w:after="280"/>
        <w:jc w:val="both"/>
        <w:rPr>
          <w:rFonts w:ascii="Arial" w:eastAsia="Arial" w:hAnsi="Arial" w:cs="Arial"/>
          <w:b/>
          <w:bCs/>
        </w:rPr>
      </w:pPr>
      <w:r>
        <w:rPr>
          <w:rFonts w:ascii="Arial" w:eastAsia="Arial" w:hAnsi="Arial" w:cs="Arial"/>
          <w:b/>
          <w:bCs/>
        </w:rPr>
        <w:t xml:space="preserve">Árboles por habitante: </w:t>
      </w:r>
      <w:r>
        <w:rPr>
          <w:rFonts w:ascii="Arial" w:eastAsia="Arial" w:hAnsi="Arial" w:cs="Arial"/>
          <w:b/>
          <w:bCs/>
          <w:highlight w:val="yellow"/>
        </w:rPr>
        <w:t>(Subdirección encargada de este bloque de preguntas SS)</w:t>
      </w:r>
    </w:p>
    <w:p w14:paraId="0000012F" w14:textId="77777777" w:rsidR="009D7C1F" w:rsidRDefault="00000000">
      <w:pPr>
        <w:numPr>
          <w:ilvl w:val="0"/>
          <w:numId w:val="10"/>
        </w:numPr>
        <w:spacing w:before="280"/>
        <w:jc w:val="both"/>
        <w:rPr>
          <w:rFonts w:ascii="Arial" w:eastAsia="Arial" w:hAnsi="Arial" w:cs="Arial"/>
        </w:rPr>
      </w:pPr>
      <w:r>
        <w:rPr>
          <w:rFonts w:ascii="Arial" w:eastAsia="Arial" w:hAnsi="Arial" w:cs="Arial"/>
        </w:rPr>
        <w:t>Indique el número promedio de árboles por habitante en Bogotá, correspondiente al 2025.</w:t>
      </w:r>
    </w:p>
    <w:p w14:paraId="00000130" w14:textId="77777777" w:rsidR="009D7C1F" w:rsidRDefault="00000000">
      <w:pPr>
        <w:numPr>
          <w:ilvl w:val="0"/>
          <w:numId w:val="10"/>
        </w:numPr>
        <w:jc w:val="both"/>
        <w:rPr>
          <w:rFonts w:ascii="Arial" w:eastAsia="Arial" w:hAnsi="Arial" w:cs="Arial"/>
        </w:rPr>
      </w:pPr>
      <w:r>
        <w:rPr>
          <w:rFonts w:ascii="Arial" w:eastAsia="Arial" w:hAnsi="Arial" w:cs="Arial"/>
        </w:rPr>
        <w:t>Presente la evolución histórica del indicador en los últimos 10 años.</w:t>
      </w:r>
    </w:p>
    <w:p w14:paraId="00000131" w14:textId="77777777" w:rsidR="009D7C1F" w:rsidRDefault="00000000">
      <w:pPr>
        <w:numPr>
          <w:ilvl w:val="0"/>
          <w:numId w:val="10"/>
        </w:numPr>
        <w:jc w:val="both"/>
        <w:rPr>
          <w:rFonts w:ascii="Arial" w:eastAsia="Arial" w:hAnsi="Arial" w:cs="Arial"/>
        </w:rPr>
      </w:pPr>
      <w:r>
        <w:rPr>
          <w:rFonts w:ascii="Arial" w:eastAsia="Arial" w:hAnsi="Arial" w:cs="Arial"/>
        </w:rPr>
        <w:t>Especifique la metodología de conteo y actualización del arbolado urbano.</w:t>
      </w:r>
    </w:p>
    <w:p w14:paraId="00000132" w14:textId="77777777" w:rsidR="009D7C1F" w:rsidRDefault="00000000">
      <w:pPr>
        <w:numPr>
          <w:ilvl w:val="0"/>
          <w:numId w:val="10"/>
        </w:numPr>
        <w:jc w:val="both"/>
        <w:rPr>
          <w:rFonts w:ascii="Arial" w:eastAsia="Arial" w:hAnsi="Arial" w:cs="Arial"/>
        </w:rPr>
      </w:pPr>
      <w:r>
        <w:rPr>
          <w:rFonts w:ascii="Arial" w:eastAsia="Arial" w:hAnsi="Arial" w:cs="Arial"/>
        </w:rPr>
        <w:t>Relacione el indicador con la calidad del aire y la mitigación del cambio climático.</w:t>
      </w:r>
    </w:p>
    <w:p w14:paraId="00000133" w14:textId="77777777" w:rsidR="009D7C1F" w:rsidRDefault="00000000">
      <w:pPr>
        <w:numPr>
          <w:ilvl w:val="0"/>
          <w:numId w:val="10"/>
        </w:numPr>
        <w:jc w:val="both"/>
        <w:rPr>
          <w:rFonts w:ascii="Arial" w:eastAsia="Arial" w:hAnsi="Arial" w:cs="Arial"/>
        </w:rPr>
      </w:pPr>
      <w:r>
        <w:rPr>
          <w:rFonts w:ascii="Arial" w:eastAsia="Arial" w:hAnsi="Arial" w:cs="Arial"/>
        </w:rPr>
        <w:t>Compare el resultado con otras ciudades capitales.</w:t>
      </w:r>
    </w:p>
    <w:p w14:paraId="00000134" w14:textId="77777777" w:rsidR="009D7C1F" w:rsidRDefault="00000000">
      <w:pPr>
        <w:numPr>
          <w:ilvl w:val="0"/>
          <w:numId w:val="10"/>
        </w:numPr>
        <w:jc w:val="both"/>
        <w:rPr>
          <w:rFonts w:ascii="Arial" w:eastAsia="Arial" w:hAnsi="Arial" w:cs="Arial"/>
        </w:rPr>
      </w:pPr>
      <w:r>
        <w:rPr>
          <w:rFonts w:ascii="Arial" w:eastAsia="Arial" w:hAnsi="Arial" w:cs="Arial"/>
        </w:rPr>
        <w:t>Señale las estrategias distritales de arborización urbana.</w:t>
      </w:r>
    </w:p>
    <w:p w14:paraId="00000135" w14:textId="77777777" w:rsidR="009D7C1F" w:rsidRDefault="00000000">
      <w:pPr>
        <w:numPr>
          <w:ilvl w:val="0"/>
          <w:numId w:val="10"/>
        </w:numPr>
        <w:jc w:val="both"/>
        <w:rPr>
          <w:rFonts w:ascii="Arial" w:eastAsia="Arial" w:hAnsi="Arial" w:cs="Arial"/>
        </w:rPr>
      </w:pPr>
      <w:r>
        <w:rPr>
          <w:rFonts w:ascii="Arial" w:eastAsia="Arial" w:hAnsi="Arial" w:cs="Arial"/>
        </w:rPr>
        <w:t>Informe cómo se posiciona el número promedio de árboles por habitante en Bogotá durante la vigencia del 2016 hasta el 2026, frente al promedio de Sur América, Centro América, Estados Unidos, México, Canadá y Europa.</w:t>
      </w:r>
    </w:p>
    <w:p w14:paraId="00000136" w14:textId="77777777" w:rsidR="009D7C1F" w:rsidRDefault="00000000">
      <w:pPr>
        <w:numPr>
          <w:ilvl w:val="0"/>
          <w:numId w:val="10"/>
        </w:numPr>
        <w:spacing w:after="280"/>
        <w:jc w:val="both"/>
        <w:rPr>
          <w:rFonts w:ascii="Arial" w:eastAsia="Arial" w:hAnsi="Arial" w:cs="Arial"/>
        </w:rPr>
      </w:pPr>
      <w:r>
        <w:rPr>
          <w:rFonts w:ascii="Arial" w:eastAsia="Arial" w:hAnsi="Arial" w:cs="Arial"/>
        </w:rPr>
        <w:t>Informe cómo se posiciona el número promedio de árboles por habitante en Bogotá durante la vigencia del 2016 hasta el 2026, frente al promedio de los países de la Organización para la Cooperación y el Desarrollo Económicos (OCDE).</w:t>
      </w:r>
    </w:p>
    <w:p w14:paraId="00000137" w14:textId="77777777" w:rsidR="009D7C1F" w:rsidRDefault="00000000">
      <w:pPr>
        <w:spacing w:before="280" w:after="280"/>
        <w:jc w:val="both"/>
        <w:rPr>
          <w:rFonts w:ascii="Arial" w:eastAsia="Arial" w:hAnsi="Arial" w:cs="Arial"/>
          <w:b/>
          <w:bCs/>
        </w:rPr>
      </w:pPr>
      <w:r>
        <w:rPr>
          <w:rFonts w:ascii="Arial" w:eastAsia="Arial" w:hAnsi="Arial" w:cs="Arial"/>
          <w:b/>
          <w:bCs/>
        </w:rPr>
        <w:t xml:space="preserve">Árboles por habitante por localidad: </w:t>
      </w:r>
      <w:r>
        <w:rPr>
          <w:rFonts w:ascii="Arial" w:eastAsia="Arial" w:hAnsi="Arial" w:cs="Arial"/>
          <w:b/>
          <w:bCs/>
          <w:highlight w:val="yellow"/>
        </w:rPr>
        <w:t>(Subdirección encargada de este bloque de preguntas SS)</w:t>
      </w:r>
    </w:p>
    <w:p w14:paraId="00000138" w14:textId="77777777" w:rsidR="009D7C1F" w:rsidRDefault="00000000">
      <w:pPr>
        <w:numPr>
          <w:ilvl w:val="0"/>
          <w:numId w:val="4"/>
        </w:numPr>
        <w:spacing w:before="280"/>
        <w:jc w:val="both"/>
        <w:rPr>
          <w:rFonts w:ascii="Arial" w:eastAsia="Arial" w:hAnsi="Arial" w:cs="Arial"/>
        </w:rPr>
      </w:pPr>
      <w:r>
        <w:rPr>
          <w:rFonts w:ascii="Arial" w:eastAsia="Arial" w:hAnsi="Arial" w:cs="Arial"/>
        </w:rPr>
        <w:t>Indique el número de árboles por habitante en cada localidad de Bogotá, correspondiente al 2025.</w:t>
      </w:r>
    </w:p>
    <w:p w14:paraId="00000139" w14:textId="77777777" w:rsidR="009D7C1F" w:rsidRDefault="00000000">
      <w:pPr>
        <w:numPr>
          <w:ilvl w:val="0"/>
          <w:numId w:val="4"/>
        </w:numPr>
        <w:jc w:val="both"/>
        <w:rPr>
          <w:rFonts w:ascii="Arial" w:eastAsia="Arial" w:hAnsi="Arial" w:cs="Arial"/>
        </w:rPr>
      </w:pPr>
      <w:r>
        <w:rPr>
          <w:rFonts w:ascii="Arial" w:eastAsia="Arial" w:hAnsi="Arial" w:cs="Arial"/>
        </w:rPr>
        <w:t>Presente la comparación territorial del indicador.</w:t>
      </w:r>
    </w:p>
    <w:p w14:paraId="0000013A" w14:textId="77777777" w:rsidR="009D7C1F" w:rsidRDefault="00000000">
      <w:pPr>
        <w:numPr>
          <w:ilvl w:val="0"/>
          <w:numId w:val="4"/>
        </w:numPr>
        <w:jc w:val="both"/>
        <w:rPr>
          <w:rFonts w:ascii="Arial" w:eastAsia="Arial" w:hAnsi="Arial" w:cs="Arial"/>
        </w:rPr>
      </w:pPr>
      <w:r>
        <w:rPr>
          <w:rFonts w:ascii="Arial" w:eastAsia="Arial" w:hAnsi="Arial" w:cs="Arial"/>
        </w:rPr>
        <w:t>Identifique las localidades con déficit crítico de arbolado.</w:t>
      </w:r>
    </w:p>
    <w:p w14:paraId="0000013B" w14:textId="77777777" w:rsidR="009D7C1F" w:rsidRDefault="00000000">
      <w:pPr>
        <w:numPr>
          <w:ilvl w:val="0"/>
          <w:numId w:val="4"/>
        </w:numPr>
        <w:jc w:val="both"/>
        <w:rPr>
          <w:rFonts w:ascii="Arial" w:eastAsia="Arial" w:hAnsi="Arial" w:cs="Arial"/>
        </w:rPr>
      </w:pPr>
      <w:r>
        <w:rPr>
          <w:rFonts w:ascii="Arial" w:eastAsia="Arial" w:hAnsi="Arial" w:cs="Arial"/>
        </w:rPr>
        <w:t>Relacione el indicador con índices de contaminación y densidad urbana.</w:t>
      </w:r>
    </w:p>
    <w:p w14:paraId="0000013C" w14:textId="77777777" w:rsidR="009D7C1F" w:rsidRDefault="00000000">
      <w:pPr>
        <w:numPr>
          <w:ilvl w:val="0"/>
          <w:numId w:val="4"/>
        </w:numPr>
        <w:jc w:val="both"/>
        <w:rPr>
          <w:rFonts w:ascii="Arial" w:eastAsia="Arial" w:hAnsi="Arial" w:cs="Arial"/>
        </w:rPr>
      </w:pPr>
      <w:r>
        <w:rPr>
          <w:rFonts w:ascii="Arial" w:eastAsia="Arial" w:hAnsi="Arial" w:cs="Arial"/>
        </w:rPr>
        <w:t>Señale las prioridades de intervención ambiental por localidad.</w:t>
      </w:r>
    </w:p>
    <w:p w14:paraId="0000013D" w14:textId="77777777" w:rsidR="009D7C1F" w:rsidRDefault="00000000">
      <w:pPr>
        <w:numPr>
          <w:ilvl w:val="0"/>
          <w:numId w:val="4"/>
        </w:numPr>
        <w:jc w:val="both"/>
        <w:rPr>
          <w:rFonts w:ascii="Arial" w:eastAsia="Arial" w:hAnsi="Arial" w:cs="Arial"/>
        </w:rPr>
      </w:pPr>
      <w:r>
        <w:rPr>
          <w:rFonts w:ascii="Arial" w:eastAsia="Arial" w:hAnsi="Arial" w:cs="Arial"/>
        </w:rPr>
        <w:t>Indique los planes de mantenimiento y reposición del arbolado.</w:t>
      </w:r>
    </w:p>
    <w:p w14:paraId="0000013E" w14:textId="77777777" w:rsidR="009D7C1F" w:rsidRDefault="00000000">
      <w:pPr>
        <w:numPr>
          <w:ilvl w:val="0"/>
          <w:numId w:val="4"/>
        </w:numPr>
        <w:jc w:val="both"/>
        <w:rPr>
          <w:rFonts w:ascii="Arial" w:eastAsia="Arial" w:hAnsi="Arial" w:cs="Arial"/>
        </w:rPr>
      </w:pPr>
      <w:r>
        <w:rPr>
          <w:rFonts w:ascii="Arial" w:eastAsia="Arial" w:hAnsi="Arial" w:cs="Arial"/>
        </w:rPr>
        <w:t>Informe cómo se posiciona el número promedio de árboles por habitante por localidad en Bogotá durante la vigencia del 2016 hasta el 2026, frente al promedio de Sur América, Centro América, Estados Unidos, México, Canadá y Europa.</w:t>
      </w:r>
    </w:p>
    <w:p w14:paraId="0000013F" w14:textId="77777777" w:rsidR="009D7C1F" w:rsidRDefault="00000000">
      <w:pPr>
        <w:numPr>
          <w:ilvl w:val="0"/>
          <w:numId w:val="4"/>
        </w:numPr>
        <w:spacing w:after="280"/>
        <w:jc w:val="both"/>
        <w:rPr>
          <w:rFonts w:ascii="Arial" w:eastAsia="Arial" w:hAnsi="Arial" w:cs="Arial"/>
        </w:rPr>
      </w:pPr>
      <w:r>
        <w:rPr>
          <w:rFonts w:ascii="Arial" w:eastAsia="Arial" w:hAnsi="Arial" w:cs="Arial"/>
        </w:rPr>
        <w:t>Informe cómo se posiciona el número promedio de árboles por habitante por localidad en Bogotá durante la vigencia del 2016 hasta el 2026, frente al promedio de los países de la Organización para la Cooperación y el Desarrollo Económicos (OCDE).</w:t>
      </w:r>
    </w:p>
    <w:p w14:paraId="00000140" w14:textId="77777777" w:rsidR="009D7C1F" w:rsidRDefault="00000000">
      <w:pPr>
        <w:spacing w:before="280" w:after="280"/>
        <w:jc w:val="both"/>
        <w:rPr>
          <w:rFonts w:ascii="Arial" w:eastAsia="Arial" w:hAnsi="Arial" w:cs="Arial"/>
          <w:b/>
          <w:bCs/>
        </w:rPr>
      </w:pPr>
      <w:sdt>
        <w:sdtPr>
          <w:tag w:val="goog_rdk_9"/>
          <w:id w:val="-1234113969"/>
        </w:sdtPr>
        <w:sdtContent>
          <w:commentRangeStart w:id="11"/>
        </w:sdtContent>
      </w:sdt>
      <w:r>
        <w:rPr>
          <w:rFonts w:ascii="Arial" w:eastAsia="Arial" w:hAnsi="Arial" w:cs="Arial"/>
          <w:b/>
          <w:bCs/>
        </w:rPr>
        <w:t xml:space="preserve">Temperatura </w:t>
      </w:r>
      <w:commentRangeEnd w:id="11"/>
      <w:r>
        <w:rPr>
          <w:rStyle w:val="Refdecomentario"/>
          <w:rFonts w:ascii="Arial" w:eastAsia="Arial" w:hAnsi="Arial" w:cs="Arial"/>
          <w:b/>
          <w:bCs/>
          <w:sz w:val="24"/>
          <w:szCs w:val="24"/>
        </w:rPr>
        <w:commentReference w:id="11"/>
      </w:r>
      <w:r>
        <w:rPr>
          <w:rFonts w:ascii="Arial" w:eastAsia="Arial" w:hAnsi="Arial" w:cs="Arial"/>
          <w:b/>
          <w:bCs/>
        </w:rPr>
        <w:t>de la ciudad y</w:t>
      </w:r>
      <w:sdt>
        <w:sdtPr>
          <w:tag w:val="goog_rdk_10"/>
          <w:id w:val="199342301"/>
        </w:sdtPr>
        <w:sdtContent>
          <w:commentRangeStart w:id="12"/>
        </w:sdtContent>
      </w:sdt>
      <w:r>
        <w:rPr>
          <w:rFonts w:ascii="Arial" w:eastAsia="Arial" w:hAnsi="Arial" w:cs="Arial"/>
          <w:b/>
          <w:bCs/>
        </w:rPr>
        <w:t xml:space="preserve"> efecto isla de calor</w:t>
      </w:r>
      <w:commentRangeEnd w:id="12"/>
      <w:r>
        <w:rPr>
          <w:rStyle w:val="Refdecomentario"/>
          <w:rFonts w:ascii="Arial" w:eastAsia="Arial" w:hAnsi="Arial" w:cs="Arial"/>
          <w:b/>
          <w:bCs/>
          <w:sz w:val="24"/>
          <w:szCs w:val="24"/>
        </w:rPr>
        <w:commentReference w:id="12"/>
      </w:r>
      <w:r>
        <w:rPr>
          <w:rFonts w:ascii="Arial" w:eastAsia="Arial" w:hAnsi="Arial" w:cs="Arial"/>
          <w:b/>
          <w:bCs/>
        </w:rPr>
        <w:t xml:space="preserve">: </w:t>
      </w:r>
      <w:r>
        <w:rPr>
          <w:rFonts w:ascii="Arial" w:eastAsia="Arial" w:hAnsi="Arial" w:cs="Arial"/>
          <w:b/>
          <w:bCs/>
          <w:highlight w:val="yellow"/>
        </w:rPr>
        <w:t>(Subdirección encargada de este bloque de preguntas SCAAV)</w:t>
      </w:r>
    </w:p>
    <w:p w14:paraId="00000141" w14:textId="77777777" w:rsidR="009D7C1F" w:rsidRDefault="00000000">
      <w:pPr>
        <w:numPr>
          <w:ilvl w:val="0"/>
          <w:numId w:val="5"/>
        </w:numPr>
        <w:spacing w:before="280"/>
        <w:jc w:val="both"/>
        <w:rPr>
          <w:rFonts w:ascii="Arial" w:eastAsia="Arial" w:hAnsi="Arial" w:cs="Arial"/>
        </w:rPr>
      </w:pPr>
      <w:sdt>
        <w:sdtPr>
          <w:tag w:val="goog_rdk_11"/>
          <w:id w:val="-347262470"/>
        </w:sdtPr>
        <w:sdtContent>
          <w:commentRangeStart w:id="13"/>
        </w:sdtContent>
      </w:sdt>
      <w:r>
        <w:rPr>
          <w:rFonts w:ascii="Arial" w:eastAsia="Arial" w:hAnsi="Arial" w:cs="Arial"/>
        </w:rPr>
        <w:t>Indique el promedio anual de temperatura en Bogotá, correspondiente al 2025.</w:t>
      </w:r>
      <w:commentRangeEnd w:id="13"/>
      <w:r>
        <w:rPr>
          <w:rStyle w:val="Refdecomentario"/>
          <w:rFonts w:ascii="Arial" w:eastAsia="Arial" w:hAnsi="Arial" w:cs="Arial"/>
          <w:sz w:val="24"/>
          <w:szCs w:val="24"/>
        </w:rPr>
        <w:commentReference w:id="13"/>
      </w:r>
    </w:p>
    <w:p w14:paraId="00000142" w14:textId="77777777" w:rsidR="009D7C1F" w:rsidRDefault="009D7C1F">
      <w:pPr>
        <w:ind w:left="566"/>
        <w:jc w:val="center"/>
        <w:rPr>
          <w:rFonts w:ascii="Arial" w:eastAsia="Arial" w:hAnsi="Arial" w:cs="Arial"/>
          <w:i/>
          <w:iCs/>
          <w:sz w:val="20"/>
          <w:szCs w:val="20"/>
        </w:rPr>
      </w:pPr>
    </w:p>
    <w:p w14:paraId="00000143" w14:textId="77777777" w:rsidR="009D7C1F" w:rsidRDefault="00000000">
      <w:pPr>
        <w:jc w:val="both"/>
        <w:rPr>
          <w:rFonts w:ascii="Arial" w:eastAsia="Arial" w:hAnsi="Arial" w:cs="Arial"/>
          <w:sz w:val="20"/>
          <w:szCs w:val="20"/>
        </w:rPr>
      </w:pPr>
      <w:r>
        <w:rPr>
          <w:rFonts w:ascii="Arial" w:eastAsia="Arial" w:hAnsi="Arial" w:cs="Arial"/>
        </w:rPr>
        <w:t>A partir de los datos de temperatura registrados en las estaciones de la Red de Monitoreo de Calidad del Aire de Bogotá RMCAB, se presentan en la tabla 1, los valores promedio de temperatura anual para 2025.</w:t>
      </w:r>
    </w:p>
    <w:p w14:paraId="00000144" w14:textId="77777777" w:rsidR="009D7C1F" w:rsidRDefault="009D7C1F">
      <w:pPr>
        <w:ind w:left="566"/>
        <w:jc w:val="center"/>
        <w:rPr>
          <w:rFonts w:ascii="Arial" w:eastAsia="Arial" w:hAnsi="Arial" w:cs="Arial"/>
          <w:i/>
          <w:iCs/>
          <w:sz w:val="20"/>
          <w:szCs w:val="20"/>
        </w:rPr>
      </w:pPr>
    </w:p>
    <w:p w14:paraId="00000145" w14:textId="77777777" w:rsidR="009D7C1F" w:rsidRDefault="009D7C1F">
      <w:pPr>
        <w:ind w:left="566"/>
        <w:jc w:val="center"/>
        <w:rPr>
          <w:rFonts w:ascii="Arial" w:eastAsia="Arial" w:hAnsi="Arial" w:cs="Arial"/>
          <w:i/>
          <w:iCs/>
          <w:sz w:val="20"/>
          <w:szCs w:val="20"/>
        </w:rPr>
      </w:pPr>
    </w:p>
    <w:p w14:paraId="00000146" w14:textId="77777777" w:rsidR="009D7C1F" w:rsidRDefault="009D7C1F">
      <w:pPr>
        <w:ind w:left="566"/>
        <w:jc w:val="center"/>
        <w:rPr>
          <w:rFonts w:ascii="Arial" w:eastAsia="Arial" w:hAnsi="Arial" w:cs="Arial"/>
          <w:i/>
          <w:iCs/>
          <w:sz w:val="20"/>
          <w:szCs w:val="20"/>
        </w:rPr>
      </w:pPr>
    </w:p>
    <w:p w14:paraId="00000147" w14:textId="77777777" w:rsidR="009D7C1F" w:rsidRDefault="009D7C1F">
      <w:pPr>
        <w:ind w:left="566"/>
        <w:jc w:val="center"/>
        <w:rPr>
          <w:rFonts w:ascii="Arial" w:eastAsia="Arial" w:hAnsi="Arial" w:cs="Arial"/>
          <w:i/>
          <w:iCs/>
          <w:sz w:val="20"/>
          <w:szCs w:val="20"/>
        </w:rPr>
      </w:pPr>
    </w:p>
    <w:p w14:paraId="00000148" w14:textId="77777777" w:rsidR="009D7C1F" w:rsidRDefault="009D7C1F">
      <w:pPr>
        <w:ind w:left="566"/>
        <w:jc w:val="center"/>
        <w:rPr>
          <w:rFonts w:ascii="Arial" w:eastAsia="Arial" w:hAnsi="Arial" w:cs="Arial"/>
          <w:i/>
          <w:iCs/>
          <w:sz w:val="20"/>
          <w:szCs w:val="20"/>
        </w:rPr>
      </w:pPr>
    </w:p>
    <w:p w14:paraId="00000149" w14:textId="77777777" w:rsidR="009D7C1F" w:rsidRDefault="009D7C1F">
      <w:pPr>
        <w:ind w:left="566"/>
        <w:jc w:val="center"/>
        <w:rPr>
          <w:rFonts w:ascii="Arial" w:eastAsia="Arial" w:hAnsi="Arial" w:cs="Arial"/>
          <w:i/>
          <w:iCs/>
          <w:sz w:val="20"/>
          <w:szCs w:val="20"/>
        </w:rPr>
      </w:pPr>
    </w:p>
    <w:p w14:paraId="0000014A" w14:textId="77777777" w:rsidR="009D7C1F" w:rsidRDefault="009D7C1F">
      <w:pPr>
        <w:ind w:left="566"/>
        <w:jc w:val="center"/>
        <w:rPr>
          <w:rFonts w:ascii="Arial" w:eastAsia="Arial" w:hAnsi="Arial" w:cs="Arial"/>
          <w:i/>
          <w:iCs/>
          <w:sz w:val="20"/>
          <w:szCs w:val="20"/>
        </w:rPr>
      </w:pPr>
    </w:p>
    <w:p w14:paraId="0000014B" w14:textId="77777777" w:rsidR="009D7C1F" w:rsidRDefault="009D7C1F">
      <w:pPr>
        <w:ind w:left="566"/>
        <w:jc w:val="center"/>
        <w:rPr>
          <w:rFonts w:ascii="Arial" w:eastAsia="Arial" w:hAnsi="Arial" w:cs="Arial"/>
          <w:i/>
          <w:iCs/>
          <w:sz w:val="20"/>
          <w:szCs w:val="20"/>
        </w:rPr>
      </w:pPr>
    </w:p>
    <w:p w14:paraId="0000014C" w14:textId="77777777" w:rsidR="009D7C1F" w:rsidRDefault="009D7C1F">
      <w:pPr>
        <w:ind w:left="566"/>
        <w:jc w:val="center"/>
        <w:rPr>
          <w:rFonts w:ascii="Arial" w:eastAsia="Arial" w:hAnsi="Arial" w:cs="Arial"/>
          <w:i/>
          <w:iCs/>
          <w:sz w:val="20"/>
          <w:szCs w:val="20"/>
        </w:rPr>
      </w:pPr>
    </w:p>
    <w:p w14:paraId="0000014D" w14:textId="77777777" w:rsidR="009D7C1F" w:rsidRDefault="009D7C1F">
      <w:pPr>
        <w:ind w:left="566"/>
        <w:jc w:val="center"/>
        <w:rPr>
          <w:rFonts w:ascii="Arial" w:eastAsia="Arial" w:hAnsi="Arial" w:cs="Arial"/>
          <w:i/>
          <w:iCs/>
          <w:sz w:val="20"/>
          <w:szCs w:val="20"/>
        </w:rPr>
      </w:pPr>
    </w:p>
    <w:p w14:paraId="0000014E" w14:textId="77777777" w:rsidR="009D7C1F" w:rsidRDefault="009D7C1F">
      <w:pPr>
        <w:ind w:left="566"/>
        <w:jc w:val="center"/>
        <w:rPr>
          <w:rFonts w:ascii="Arial" w:eastAsia="Arial" w:hAnsi="Arial" w:cs="Arial"/>
          <w:i/>
          <w:iCs/>
          <w:sz w:val="20"/>
          <w:szCs w:val="20"/>
        </w:rPr>
      </w:pPr>
    </w:p>
    <w:p w14:paraId="0000014F" w14:textId="77777777" w:rsidR="009D7C1F" w:rsidRDefault="009D7C1F">
      <w:pPr>
        <w:ind w:left="566"/>
        <w:jc w:val="center"/>
        <w:rPr>
          <w:rFonts w:ascii="Arial" w:eastAsia="Arial" w:hAnsi="Arial" w:cs="Arial"/>
          <w:i/>
          <w:iCs/>
          <w:sz w:val="20"/>
          <w:szCs w:val="20"/>
        </w:rPr>
      </w:pPr>
    </w:p>
    <w:p w14:paraId="00000150" w14:textId="77777777" w:rsidR="009D7C1F" w:rsidRDefault="009D7C1F">
      <w:pPr>
        <w:ind w:left="566"/>
        <w:jc w:val="center"/>
        <w:rPr>
          <w:rFonts w:ascii="Arial" w:eastAsia="Arial" w:hAnsi="Arial" w:cs="Arial"/>
          <w:i/>
          <w:iCs/>
          <w:sz w:val="20"/>
          <w:szCs w:val="20"/>
        </w:rPr>
      </w:pPr>
    </w:p>
    <w:p w14:paraId="00000151" w14:textId="77777777" w:rsidR="009D7C1F" w:rsidRDefault="00000000">
      <w:pPr>
        <w:ind w:left="566"/>
        <w:jc w:val="center"/>
        <w:rPr>
          <w:rFonts w:ascii="Arial" w:eastAsia="Arial" w:hAnsi="Arial" w:cs="Arial"/>
          <w:i/>
          <w:iCs/>
          <w:sz w:val="20"/>
          <w:szCs w:val="20"/>
        </w:rPr>
      </w:pPr>
      <w:r>
        <w:rPr>
          <w:rFonts w:ascii="Arial" w:eastAsia="Arial" w:hAnsi="Arial" w:cs="Arial"/>
          <w:i/>
          <w:iCs/>
          <w:sz w:val="20"/>
          <w:szCs w:val="20"/>
        </w:rPr>
        <w:t>Tabla 1. Promedios de la temperatura media anual de las estaciones de la RMCAB 2025</w:t>
      </w:r>
    </w:p>
    <w:p w14:paraId="00000152" w14:textId="77777777" w:rsidR="009D7C1F" w:rsidRDefault="00000000">
      <w:pPr>
        <w:jc w:val="center"/>
        <w:rPr>
          <w:rFonts w:ascii="Arial" w:eastAsia="Arial" w:hAnsi="Arial" w:cs="Arial"/>
          <w:sz w:val="20"/>
          <w:szCs w:val="20"/>
        </w:rPr>
      </w:pPr>
      <w:r>
        <w:rPr>
          <w:rFonts w:ascii="Arial" w:eastAsia="Arial" w:hAnsi="Arial" w:cs="Arial"/>
          <w:noProof/>
          <w:sz w:val="20"/>
          <w:szCs w:val="20"/>
        </w:rPr>
        <w:drawing>
          <wp:inline distT="114300" distB="114300" distL="114300" distR="114300" wp14:anchorId="5B6F3CC8" wp14:editId="557B9A13">
            <wp:extent cx="2471738" cy="3666411"/>
            <wp:effectExtent l="0" t="0" r="0" b="0"/>
            <wp:docPr id="3"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23"/>
                    <a:srcRect/>
                    <a:stretch>
                      <a:fillRect/>
                    </a:stretch>
                  </pic:blipFill>
                  <pic:spPr>
                    <a:xfrm>
                      <a:off x="0" y="0"/>
                      <a:ext cx="2471738" cy="3666411"/>
                    </a:xfrm>
                    <a:prstGeom prst="rect">
                      <a:avLst/>
                    </a:prstGeom>
                    <a:ln/>
                  </pic:spPr>
                </pic:pic>
              </a:graphicData>
            </a:graphic>
          </wp:inline>
        </w:drawing>
      </w:r>
    </w:p>
    <w:p w14:paraId="00000153" w14:textId="77777777" w:rsidR="009D7C1F" w:rsidRDefault="00000000">
      <w:pPr>
        <w:jc w:val="center"/>
        <w:rPr>
          <w:rFonts w:ascii="Arial" w:eastAsia="Arial" w:hAnsi="Arial" w:cs="Arial"/>
          <w:sz w:val="20"/>
          <w:szCs w:val="20"/>
        </w:rPr>
      </w:pPr>
      <w:r>
        <w:rPr>
          <w:rFonts w:ascii="Arial" w:eastAsia="Arial" w:hAnsi="Arial" w:cs="Arial"/>
          <w:i/>
          <w:iCs/>
          <w:sz w:val="20"/>
          <w:szCs w:val="20"/>
        </w:rPr>
        <w:t>Fuente. RMCAB, SDA</w:t>
      </w:r>
    </w:p>
    <w:p w14:paraId="00000154" w14:textId="77777777" w:rsidR="009D7C1F" w:rsidRDefault="00000000">
      <w:pPr>
        <w:ind w:left="720"/>
        <w:jc w:val="both"/>
        <w:rPr>
          <w:rFonts w:ascii="Arial" w:eastAsia="Arial" w:hAnsi="Arial" w:cs="Arial"/>
        </w:rPr>
      </w:pPr>
      <w:r>
        <w:rPr>
          <w:rFonts w:ascii="Arial" w:eastAsia="Arial" w:hAnsi="Arial" w:cs="Arial"/>
        </w:rPr>
        <w:t>Las celdas con valores “No Data”, indican que durante el periodo no se tuvo sensor activo de temperatura o no se alcanzó el porcentaje mínimo de datos válido de 75%.</w:t>
      </w:r>
    </w:p>
    <w:p w14:paraId="00000155" w14:textId="77777777" w:rsidR="009D7C1F" w:rsidRDefault="009D7C1F">
      <w:pPr>
        <w:ind w:left="720"/>
        <w:jc w:val="both"/>
        <w:rPr>
          <w:rFonts w:ascii="Arial" w:eastAsia="Arial" w:hAnsi="Arial" w:cs="Arial"/>
        </w:rPr>
      </w:pPr>
    </w:p>
    <w:p w14:paraId="00000156" w14:textId="77777777" w:rsidR="009D7C1F" w:rsidRDefault="00000000">
      <w:pPr>
        <w:numPr>
          <w:ilvl w:val="0"/>
          <w:numId w:val="5"/>
        </w:numPr>
        <w:jc w:val="both"/>
        <w:rPr>
          <w:rFonts w:ascii="Arial" w:eastAsia="Arial" w:hAnsi="Arial" w:cs="Arial"/>
        </w:rPr>
      </w:pPr>
      <w:sdt>
        <w:sdtPr>
          <w:tag w:val="goog_rdk_12"/>
          <w:id w:val="-799132951"/>
        </w:sdtPr>
        <w:sdtContent>
          <w:commentRangeStart w:id="14"/>
        </w:sdtContent>
      </w:sdt>
      <w:r>
        <w:rPr>
          <w:rFonts w:ascii="Arial" w:eastAsia="Arial" w:hAnsi="Arial" w:cs="Arial"/>
        </w:rPr>
        <w:t>Presente la evolución histórica de la temperatura urbana</w:t>
      </w:r>
      <w:commentRangeEnd w:id="14"/>
      <w:r>
        <w:rPr>
          <w:rStyle w:val="Refdecomentario"/>
          <w:rFonts w:ascii="Arial" w:eastAsia="Arial" w:hAnsi="Arial" w:cs="Arial"/>
          <w:sz w:val="24"/>
          <w:szCs w:val="24"/>
        </w:rPr>
        <w:commentReference w:id="14"/>
      </w:r>
      <w:r>
        <w:rPr>
          <w:rFonts w:ascii="Arial" w:eastAsia="Arial" w:hAnsi="Arial" w:cs="Arial"/>
        </w:rPr>
        <w:t>.</w:t>
      </w:r>
    </w:p>
    <w:p w14:paraId="00000157" w14:textId="77777777" w:rsidR="009D7C1F" w:rsidRDefault="009D7C1F">
      <w:pPr>
        <w:jc w:val="both"/>
        <w:rPr>
          <w:rFonts w:ascii="Arial" w:eastAsia="Arial" w:hAnsi="Arial" w:cs="Arial"/>
        </w:rPr>
      </w:pPr>
    </w:p>
    <w:p w14:paraId="00000158" w14:textId="77777777" w:rsidR="009D7C1F" w:rsidRDefault="00000000">
      <w:pPr>
        <w:jc w:val="center"/>
        <w:rPr>
          <w:rFonts w:ascii="Arial" w:eastAsia="Arial" w:hAnsi="Arial" w:cs="Arial"/>
          <w:b/>
          <w:bCs/>
        </w:rPr>
      </w:pPr>
      <w:r>
        <w:rPr>
          <w:rFonts w:ascii="Arial" w:eastAsia="Arial" w:hAnsi="Arial" w:cs="Arial"/>
          <w:b/>
          <w:bCs/>
        </w:rPr>
        <w:t>Promedios históricos de temperatura</w:t>
      </w:r>
    </w:p>
    <w:p w14:paraId="00000159" w14:textId="77777777" w:rsidR="009D7C1F" w:rsidRDefault="009D7C1F">
      <w:pPr>
        <w:jc w:val="both"/>
        <w:rPr>
          <w:rFonts w:ascii="Arial" w:eastAsia="Arial" w:hAnsi="Arial" w:cs="Arial"/>
        </w:rPr>
      </w:pPr>
    </w:p>
    <w:p w14:paraId="0000015A" w14:textId="77777777" w:rsidR="009D7C1F" w:rsidRDefault="00000000">
      <w:pPr>
        <w:jc w:val="both"/>
        <w:rPr>
          <w:rFonts w:ascii="Arial" w:eastAsia="Arial" w:hAnsi="Arial" w:cs="Arial"/>
        </w:rPr>
      </w:pPr>
      <w:r>
        <w:rPr>
          <w:rFonts w:ascii="Arial" w:eastAsia="Arial" w:hAnsi="Arial" w:cs="Arial"/>
        </w:rPr>
        <w:t xml:space="preserve">A partir de los datos de temperatura registrados en las estaciones de la Red de Monitoreo de Calidad del Aire de Bogotá RMCAB, en la Tabla 2 se presenta el resumen de los promedios anuales por estación para el período comprendido entre 2000 y 2024. A partir de estos reportes se observa que, en 2024, la temperatura media superficial registró un ligero incremento con respecto a 2023, alcanzando valores promedio muy similares a los de dicho año. </w:t>
      </w:r>
    </w:p>
    <w:p w14:paraId="0000015B" w14:textId="77777777" w:rsidR="009D7C1F" w:rsidRDefault="009D7C1F">
      <w:pPr>
        <w:jc w:val="both"/>
        <w:rPr>
          <w:rFonts w:ascii="Arial" w:eastAsia="Arial" w:hAnsi="Arial" w:cs="Arial"/>
        </w:rPr>
      </w:pPr>
    </w:p>
    <w:p w14:paraId="0000015C" w14:textId="77777777" w:rsidR="009D7C1F" w:rsidRDefault="00000000">
      <w:pPr>
        <w:jc w:val="both"/>
        <w:rPr>
          <w:rFonts w:ascii="Arial" w:eastAsia="Arial" w:hAnsi="Arial" w:cs="Arial"/>
        </w:rPr>
      </w:pPr>
      <w:r>
        <w:rPr>
          <w:rFonts w:ascii="Arial" w:eastAsia="Arial" w:hAnsi="Arial" w:cs="Arial"/>
        </w:rPr>
        <w:t>Por su parte, la Figura 1 muestra la variación promedio de la temperatura anual de la ciudad de Bogotá entre 2000 y 2024. En esta figura se aprecia que, en este periodo, en comparación con los años 2016, 2019 y 2020 (los más cálidos de la última década), las temperaturas medias superficiales presentaron un comportamiento semejante al registrado en 2024.</w:t>
      </w:r>
    </w:p>
    <w:p w14:paraId="0000015D" w14:textId="77777777" w:rsidR="009D7C1F" w:rsidRDefault="009D7C1F">
      <w:pPr>
        <w:jc w:val="both"/>
        <w:rPr>
          <w:rFonts w:ascii="Arial" w:eastAsia="Arial" w:hAnsi="Arial" w:cs="Arial"/>
        </w:rPr>
      </w:pPr>
    </w:p>
    <w:p w14:paraId="0000015E" w14:textId="77777777" w:rsidR="009D7C1F" w:rsidRDefault="009D7C1F">
      <w:pPr>
        <w:ind w:left="720"/>
        <w:jc w:val="center"/>
        <w:rPr>
          <w:rFonts w:ascii="Arial" w:eastAsia="Arial" w:hAnsi="Arial" w:cs="Arial"/>
          <w:i/>
          <w:iCs/>
          <w:sz w:val="20"/>
          <w:szCs w:val="20"/>
        </w:rPr>
      </w:pPr>
    </w:p>
    <w:p w14:paraId="0000015F" w14:textId="77777777" w:rsidR="009D7C1F" w:rsidRDefault="009D7C1F">
      <w:pPr>
        <w:ind w:left="720"/>
        <w:jc w:val="center"/>
        <w:rPr>
          <w:rFonts w:ascii="Arial" w:eastAsia="Arial" w:hAnsi="Arial" w:cs="Arial"/>
          <w:i/>
          <w:iCs/>
          <w:sz w:val="20"/>
          <w:szCs w:val="20"/>
        </w:rPr>
      </w:pPr>
    </w:p>
    <w:p w14:paraId="00000160" w14:textId="77777777" w:rsidR="009D7C1F" w:rsidRDefault="00000000">
      <w:pPr>
        <w:ind w:left="566"/>
        <w:jc w:val="center"/>
        <w:rPr>
          <w:rFonts w:ascii="Arial" w:eastAsia="Arial" w:hAnsi="Arial" w:cs="Arial"/>
          <w:i/>
          <w:iCs/>
          <w:sz w:val="20"/>
          <w:szCs w:val="20"/>
        </w:rPr>
      </w:pPr>
      <w:r>
        <w:rPr>
          <w:rFonts w:ascii="Arial" w:eastAsia="Arial" w:hAnsi="Arial" w:cs="Arial"/>
          <w:i/>
          <w:iCs/>
          <w:sz w:val="20"/>
          <w:szCs w:val="20"/>
        </w:rPr>
        <w:t>Tabla 2. Promedios de la temperatura media anual de las estaciones de la RMCAB 2000 a 2024</w:t>
      </w:r>
    </w:p>
    <w:p w14:paraId="00000161" w14:textId="77777777" w:rsidR="009D7C1F" w:rsidRDefault="00000000">
      <w:pPr>
        <w:ind w:left="-425" w:right="-389"/>
        <w:jc w:val="center"/>
        <w:rPr>
          <w:rFonts w:ascii="Arial" w:eastAsia="Arial" w:hAnsi="Arial" w:cs="Arial"/>
          <w:i/>
          <w:iCs/>
          <w:sz w:val="20"/>
          <w:szCs w:val="20"/>
        </w:rPr>
      </w:pPr>
      <w:r>
        <w:rPr>
          <w:rFonts w:ascii="Arial" w:eastAsia="Arial" w:hAnsi="Arial" w:cs="Arial"/>
          <w:i/>
          <w:iCs/>
          <w:noProof/>
          <w:sz w:val="20"/>
          <w:szCs w:val="20"/>
        </w:rPr>
        <w:drawing>
          <wp:inline distT="114300" distB="114300" distL="114300" distR="114300" wp14:anchorId="01D2A771" wp14:editId="096E5A0B">
            <wp:extent cx="6534150" cy="2879445"/>
            <wp:effectExtent l="0" t="0" r="0" b="0"/>
            <wp:docPr id="9"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24"/>
                    <a:srcRect/>
                    <a:stretch>
                      <a:fillRect/>
                    </a:stretch>
                  </pic:blipFill>
                  <pic:spPr>
                    <a:xfrm>
                      <a:off x="0" y="0"/>
                      <a:ext cx="6534150" cy="2879445"/>
                    </a:xfrm>
                    <a:prstGeom prst="rect">
                      <a:avLst/>
                    </a:prstGeom>
                    <a:ln/>
                  </pic:spPr>
                </pic:pic>
              </a:graphicData>
            </a:graphic>
          </wp:inline>
        </w:drawing>
      </w:r>
    </w:p>
    <w:p w14:paraId="00000162" w14:textId="77777777" w:rsidR="009D7C1F" w:rsidRDefault="00000000">
      <w:pPr>
        <w:jc w:val="center"/>
        <w:rPr>
          <w:rFonts w:ascii="Arial" w:eastAsia="Arial" w:hAnsi="Arial" w:cs="Arial"/>
          <w:i/>
          <w:iCs/>
          <w:sz w:val="20"/>
          <w:szCs w:val="20"/>
        </w:rPr>
      </w:pPr>
      <w:r>
        <w:rPr>
          <w:rFonts w:ascii="Arial" w:eastAsia="Arial" w:hAnsi="Arial" w:cs="Arial"/>
          <w:i/>
          <w:iCs/>
          <w:sz w:val="20"/>
          <w:szCs w:val="20"/>
        </w:rPr>
        <w:t>Fuente. RMCAB, SDA</w:t>
      </w:r>
    </w:p>
    <w:p w14:paraId="00000163" w14:textId="77777777" w:rsidR="009D7C1F" w:rsidRDefault="009D7C1F">
      <w:pPr>
        <w:jc w:val="center"/>
        <w:rPr>
          <w:rFonts w:ascii="Arial" w:eastAsia="Arial" w:hAnsi="Arial" w:cs="Arial"/>
          <w:i/>
          <w:iCs/>
          <w:sz w:val="20"/>
          <w:szCs w:val="20"/>
        </w:rPr>
      </w:pPr>
    </w:p>
    <w:p w14:paraId="00000164" w14:textId="77777777" w:rsidR="009D7C1F" w:rsidRDefault="00000000">
      <w:pPr>
        <w:ind w:left="720"/>
        <w:jc w:val="center"/>
        <w:rPr>
          <w:rFonts w:ascii="Arial" w:eastAsia="Arial" w:hAnsi="Arial" w:cs="Arial"/>
          <w:i/>
          <w:iCs/>
          <w:sz w:val="20"/>
          <w:szCs w:val="20"/>
        </w:rPr>
      </w:pPr>
      <w:r>
        <w:rPr>
          <w:rFonts w:ascii="Arial" w:eastAsia="Arial" w:hAnsi="Arial" w:cs="Arial"/>
          <w:i/>
          <w:iCs/>
          <w:sz w:val="20"/>
          <w:szCs w:val="20"/>
        </w:rPr>
        <w:t>Figura 1. Comportamiento histórico de la temperatura desde 2000 a 2024</w:t>
      </w:r>
    </w:p>
    <w:p w14:paraId="00000165" w14:textId="77777777" w:rsidR="009D7C1F" w:rsidRDefault="00000000">
      <w:pPr>
        <w:ind w:left="720"/>
        <w:jc w:val="center"/>
        <w:rPr>
          <w:rFonts w:ascii="Arial" w:eastAsia="Arial" w:hAnsi="Arial" w:cs="Arial"/>
          <w:i/>
          <w:iCs/>
          <w:sz w:val="20"/>
          <w:szCs w:val="20"/>
        </w:rPr>
      </w:pPr>
      <w:r>
        <w:rPr>
          <w:rFonts w:ascii="Arial" w:eastAsia="Arial" w:hAnsi="Arial" w:cs="Arial"/>
          <w:noProof/>
        </w:rPr>
        <w:drawing>
          <wp:inline distT="114300" distB="114300" distL="114300" distR="114300" wp14:anchorId="6981101E" wp14:editId="1754419B">
            <wp:extent cx="4990783" cy="2156613"/>
            <wp:effectExtent l="0" t="0" r="0" b="0"/>
            <wp:docPr id="7"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25"/>
                    <a:srcRect/>
                    <a:stretch>
                      <a:fillRect/>
                    </a:stretch>
                  </pic:blipFill>
                  <pic:spPr>
                    <a:xfrm>
                      <a:off x="0" y="0"/>
                      <a:ext cx="4990783" cy="2156613"/>
                    </a:xfrm>
                    <a:prstGeom prst="rect">
                      <a:avLst/>
                    </a:prstGeom>
                    <a:ln/>
                  </pic:spPr>
                </pic:pic>
              </a:graphicData>
            </a:graphic>
          </wp:inline>
        </w:drawing>
      </w:r>
    </w:p>
    <w:p w14:paraId="00000166" w14:textId="77777777" w:rsidR="009D7C1F" w:rsidRDefault="009D7C1F">
      <w:pPr>
        <w:rPr>
          <w:rFonts w:ascii="Arial" w:eastAsia="Arial" w:hAnsi="Arial" w:cs="Arial"/>
          <w:i/>
          <w:iCs/>
          <w:sz w:val="20"/>
          <w:szCs w:val="20"/>
        </w:rPr>
      </w:pPr>
    </w:p>
    <w:p w14:paraId="00000167" w14:textId="77777777" w:rsidR="009D7C1F" w:rsidRDefault="00000000">
      <w:pPr>
        <w:numPr>
          <w:ilvl w:val="0"/>
          <w:numId w:val="5"/>
        </w:numPr>
        <w:jc w:val="both"/>
        <w:rPr>
          <w:rFonts w:ascii="Arial" w:eastAsia="Arial" w:hAnsi="Arial" w:cs="Arial"/>
        </w:rPr>
      </w:pPr>
      <w:r>
        <w:rPr>
          <w:rFonts w:ascii="Arial" w:eastAsia="Arial" w:hAnsi="Arial" w:cs="Arial"/>
        </w:rPr>
        <w:t xml:space="preserve">Identifique zonas con mayor intensidad del </w:t>
      </w:r>
      <w:sdt>
        <w:sdtPr>
          <w:tag w:val="goog_rdk_13"/>
          <w:id w:val="1637765564"/>
        </w:sdtPr>
        <w:sdtContent>
          <w:commentRangeStart w:id="15"/>
        </w:sdtContent>
      </w:sdt>
      <w:r>
        <w:rPr>
          <w:rFonts w:ascii="Arial" w:eastAsia="Arial" w:hAnsi="Arial" w:cs="Arial"/>
        </w:rPr>
        <w:t>efecto isla de calor</w:t>
      </w:r>
      <w:commentRangeEnd w:id="15"/>
      <w:r>
        <w:rPr>
          <w:rStyle w:val="Refdecomentario"/>
          <w:rFonts w:ascii="Arial" w:eastAsia="Arial" w:hAnsi="Arial" w:cs="Arial"/>
          <w:sz w:val="24"/>
          <w:szCs w:val="24"/>
        </w:rPr>
        <w:commentReference w:id="15"/>
      </w:r>
      <w:r>
        <w:rPr>
          <w:rFonts w:ascii="Arial" w:eastAsia="Arial" w:hAnsi="Arial" w:cs="Arial"/>
        </w:rPr>
        <w:t>.</w:t>
      </w:r>
    </w:p>
    <w:p w14:paraId="00000168" w14:textId="77777777" w:rsidR="009D7C1F" w:rsidRDefault="00000000">
      <w:pPr>
        <w:numPr>
          <w:ilvl w:val="0"/>
          <w:numId w:val="5"/>
        </w:numPr>
        <w:jc w:val="both"/>
        <w:rPr>
          <w:rFonts w:ascii="Arial" w:eastAsia="Arial" w:hAnsi="Arial" w:cs="Arial"/>
        </w:rPr>
      </w:pPr>
      <w:r>
        <w:rPr>
          <w:rFonts w:ascii="Arial" w:eastAsia="Arial" w:hAnsi="Arial" w:cs="Arial"/>
        </w:rPr>
        <w:t xml:space="preserve">Relacione el </w:t>
      </w:r>
      <w:sdt>
        <w:sdtPr>
          <w:tag w:val="goog_rdk_14"/>
          <w:id w:val="295712192"/>
        </w:sdtPr>
        <w:sdtContent>
          <w:commentRangeStart w:id="16"/>
        </w:sdtContent>
      </w:sdt>
      <w:r>
        <w:rPr>
          <w:rFonts w:ascii="Arial" w:eastAsia="Arial" w:hAnsi="Arial" w:cs="Arial"/>
        </w:rPr>
        <w:t>indicador con cobertura vegetal y densidad urbana.</w:t>
      </w:r>
      <w:commentRangeEnd w:id="16"/>
      <w:r>
        <w:rPr>
          <w:rStyle w:val="Refdecomentario"/>
          <w:rFonts w:ascii="Arial" w:eastAsia="Arial" w:hAnsi="Arial" w:cs="Arial"/>
          <w:sz w:val="24"/>
          <w:szCs w:val="24"/>
        </w:rPr>
        <w:commentReference w:id="16"/>
      </w:r>
    </w:p>
    <w:p w14:paraId="00000169" w14:textId="77777777" w:rsidR="009D7C1F" w:rsidRDefault="00000000">
      <w:pPr>
        <w:numPr>
          <w:ilvl w:val="0"/>
          <w:numId w:val="5"/>
        </w:numPr>
        <w:jc w:val="both"/>
        <w:rPr>
          <w:rFonts w:ascii="Arial" w:eastAsia="Arial" w:hAnsi="Arial" w:cs="Arial"/>
        </w:rPr>
      </w:pPr>
      <w:r>
        <w:rPr>
          <w:rFonts w:ascii="Arial" w:eastAsia="Arial" w:hAnsi="Arial" w:cs="Arial"/>
        </w:rPr>
        <w:t xml:space="preserve">Analice los impactos del </w:t>
      </w:r>
      <w:sdt>
        <w:sdtPr>
          <w:tag w:val="goog_rdk_15"/>
          <w:id w:val="-544068185"/>
        </w:sdtPr>
        <w:sdtContent>
          <w:commentRangeStart w:id="17"/>
        </w:sdtContent>
      </w:sdt>
      <w:r>
        <w:rPr>
          <w:rFonts w:ascii="Arial" w:eastAsia="Arial" w:hAnsi="Arial" w:cs="Arial"/>
        </w:rPr>
        <w:t>efecto isla de calor en la salud pública</w:t>
      </w:r>
      <w:commentRangeEnd w:id="17"/>
      <w:r>
        <w:rPr>
          <w:rStyle w:val="Refdecomentario"/>
          <w:rFonts w:ascii="Arial" w:eastAsia="Arial" w:hAnsi="Arial" w:cs="Arial"/>
          <w:sz w:val="24"/>
          <w:szCs w:val="24"/>
        </w:rPr>
        <w:commentReference w:id="17"/>
      </w:r>
      <w:r>
        <w:rPr>
          <w:rFonts w:ascii="Arial" w:eastAsia="Arial" w:hAnsi="Arial" w:cs="Arial"/>
        </w:rPr>
        <w:t>.</w:t>
      </w:r>
    </w:p>
    <w:p w14:paraId="0000016A" w14:textId="77777777" w:rsidR="009D7C1F" w:rsidRDefault="00000000">
      <w:pPr>
        <w:numPr>
          <w:ilvl w:val="0"/>
          <w:numId w:val="5"/>
        </w:numPr>
        <w:jc w:val="both"/>
        <w:rPr>
          <w:rFonts w:ascii="Arial" w:eastAsia="Arial" w:hAnsi="Arial" w:cs="Arial"/>
        </w:rPr>
      </w:pPr>
      <w:r>
        <w:rPr>
          <w:rFonts w:ascii="Arial" w:eastAsia="Arial" w:hAnsi="Arial" w:cs="Arial"/>
        </w:rPr>
        <w:t xml:space="preserve">Señale las </w:t>
      </w:r>
      <w:sdt>
        <w:sdtPr>
          <w:tag w:val="goog_rdk_16"/>
          <w:id w:val="-532743030"/>
        </w:sdtPr>
        <w:sdtContent>
          <w:commentRangeStart w:id="18"/>
        </w:sdtContent>
      </w:sdt>
      <w:r>
        <w:rPr>
          <w:rFonts w:ascii="Arial" w:eastAsia="Arial" w:hAnsi="Arial" w:cs="Arial"/>
        </w:rPr>
        <w:t>estrategias distritales de mitigación climática urbana</w:t>
      </w:r>
      <w:commentRangeEnd w:id="18"/>
      <w:r>
        <w:rPr>
          <w:rStyle w:val="Refdecomentario"/>
          <w:rFonts w:ascii="Arial" w:eastAsia="Arial" w:hAnsi="Arial" w:cs="Arial"/>
          <w:sz w:val="24"/>
          <w:szCs w:val="24"/>
        </w:rPr>
        <w:commentReference w:id="18"/>
      </w:r>
      <w:r>
        <w:rPr>
          <w:rFonts w:ascii="Arial" w:eastAsia="Arial" w:hAnsi="Arial" w:cs="Arial"/>
        </w:rPr>
        <w:t>.</w:t>
      </w:r>
    </w:p>
    <w:p w14:paraId="0000016B" w14:textId="77777777" w:rsidR="009D7C1F" w:rsidRDefault="009D7C1F">
      <w:pPr>
        <w:jc w:val="both"/>
        <w:rPr>
          <w:rFonts w:ascii="Arial" w:eastAsia="Arial" w:hAnsi="Arial" w:cs="Arial"/>
        </w:rPr>
      </w:pPr>
    </w:p>
    <w:p w14:paraId="0000016C" w14:textId="77777777" w:rsidR="009D7C1F" w:rsidRDefault="00000000">
      <w:pPr>
        <w:numPr>
          <w:ilvl w:val="0"/>
          <w:numId w:val="5"/>
        </w:numPr>
        <w:jc w:val="both"/>
        <w:rPr>
          <w:rFonts w:ascii="Arial" w:eastAsia="Arial" w:hAnsi="Arial" w:cs="Arial"/>
        </w:rPr>
      </w:pPr>
      <w:r>
        <w:rPr>
          <w:rFonts w:ascii="Arial" w:eastAsia="Arial" w:hAnsi="Arial" w:cs="Arial"/>
        </w:rPr>
        <w:t>Informe cómo se posiciona el promedio anual de temperatura en Bogotá durante la vigencia del 2016 hasta el 2026, frente al promedio de Sur América, Centro América, Estados Unidos, México, Canadá y Europa.</w:t>
      </w:r>
    </w:p>
    <w:p w14:paraId="0000016D" w14:textId="77777777" w:rsidR="009D7C1F" w:rsidRDefault="009D7C1F">
      <w:pPr>
        <w:jc w:val="both"/>
        <w:rPr>
          <w:rFonts w:ascii="Arial" w:eastAsia="Arial" w:hAnsi="Arial" w:cs="Arial"/>
        </w:rPr>
      </w:pPr>
    </w:p>
    <w:p w14:paraId="0000016E" w14:textId="77777777" w:rsidR="009D7C1F" w:rsidRDefault="00000000">
      <w:pPr>
        <w:jc w:val="both"/>
        <w:rPr>
          <w:rFonts w:ascii="Arial" w:eastAsia="Arial" w:hAnsi="Arial" w:cs="Arial"/>
        </w:rPr>
      </w:pPr>
      <w:r>
        <w:rPr>
          <w:rFonts w:ascii="Arial" w:eastAsia="Arial" w:hAnsi="Arial" w:cs="Arial"/>
        </w:rPr>
        <w:t xml:space="preserve">La Secretaría Distrital de Ambiente a través de la Red de Monitoreo de Calidad del Aire de Bogotá, no realiza este tipo de análisis comparativos. Adicionalmente un comparativo de temperatura promedio entre los países mencionados, </w:t>
      </w:r>
      <w:r>
        <w:rPr>
          <w:rFonts w:ascii="Arial" w:eastAsia="Arial" w:hAnsi="Arial" w:cs="Arial"/>
          <w:color w:val="001D35"/>
        </w:rPr>
        <w:t>varía significativamente debido a su amplia distribución geográfica, que abarca desde climas árticos hasta tropicales, por lo que un posicionamiento de la temperatura promedio sería función, entre otros, de la ubicación geográfica de cada país.</w:t>
      </w:r>
    </w:p>
    <w:p w14:paraId="0000016F" w14:textId="77777777" w:rsidR="009D7C1F" w:rsidRDefault="009D7C1F">
      <w:pPr>
        <w:jc w:val="both"/>
        <w:rPr>
          <w:rFonts w:ascii="Arial" w:eastAsia="Arial" w:hAnsi="Arial" w:cs="Arial"/>
        </w:rPr>
      </w:pPr>
    </w:p>
    <w:p w14:paraId="00000170" w14:textId="77777777" w:rsidR="009D7C1F" w:rsidRDefault="00000000">
      <w:pPr>
        <w:numPr>
          <w:ilvl w:val="0"/>
          <w:numId w:val="5"/>
        </w:numPr>
        <w:spacing w:after="280"/>
        <w:jc w:val="both"/>
        <w:rPr>
          <w:rFonts w:ascii="Arial" w:eastAsia="Arial" w:hAnsi="Arial" w:cs="Arial"/>
        </w:rPr>
      </w:pPr>
      <w:r>
        <w:rPr>
          <w:rFonts w:ascii="Arial" w:eastAsia="Arial" w:hAnsi="Arial" w:cs="Arial"/>
        </w:rPr>
        <w:t>Informe cómo se posiciona el promedio anual de temperatura en Bogotá durante la vigencia del 2016 hasta el 2026, frente al promedio de los países de la Organización para la Cooperación y el Desarrollo Económicos (OCDE).</w:t>
      </w:r>
    </w:p>
    <w:p w14:paraId="00000171" w14:textId="77777777" w:rsidR="009D7C1F" w:rsidRDefault="00000000">
      <w:pPr>
        <w:jc w:val="both"/>
        <w:rPr>
          <w:rFonts w:ascii="Arial" w:eastAsia="Arial" w:hAnsi="Arial" w:cs="Arial"/>
        </w:rPr>
      </w:pPr>
      <w:r>
        <w:rPr>
          <w:rFonts w:ascii="Arial" w:eastAsia="Arial" w:hAnsi="Arial" w:cs="Arial"/>
        </w:rPr>
        <w:t>La Secretaría Distrital de Ambiente a través de la Red de Monitoreo de Calidad del Aire de Bogotá, no realiza este tipo de análisis comparativos.</w:t>
      </w:r>
    </w:p>
    <w:p w14:paraId="00000172" w14:textId="77777777" w:rsidR="009D7C1F" w:rsidRDefault="009D7C1F">
      <w:pPr>
        <w:jc w:val="both"/>
        <w:rPr>
          <w:rFonts w:ascii="Arial" w:eastAsia="Arial" w:hAnsi="Arial" w:cs="Arial"/>
        </w:rPr>
      </w:pPr>
    </w:p>
    <w:p w14:paraId="00000173" w14:textId="77777777" w:rsidR="009D7C1F" w:rsidRDefault="00000000">
      <w:pPr>
        <w:jc w:val="both"/>
        <w:rPr>
          <w:rFonts w:ascii="Arial" w:eastAsia="Arial" w:hAnsi="Arial" w:cs="Arial"/>
          <w:color w:val="001D35"/>
        </w:rPr>
      </w:pPr>
      <w:r>
        <w:rPr>
          <w:rFonts w:ascii="Arial" w:eastAsia="Arial" w:hAnsi="Arial" w:cs="Arial"/>
        </w:rPr>
        <w:t xml:space="preserve">Es importante aclarar que la temperatura promedio de los países de la OCDE </w:t>
      </w:r>
      <w:r>
        <w:rPr>
          <w:rFonts w:ascii="Arial" w:eastAsia="Arial" w:hAnsi="Arial" w:cs="Arial"/>
          <w:color w:val="001D35"/>
        </w:rPr>
        <w:t>varía significativamente debido a su amplia distribución geográfica, que abarca desde climas árticos hasta tropicales, por lo que un posicionamiento de la temperatura promedio sería función, entre otros, de la ubicación geográfica de cada país.</w:t>
      </w:r>
    </w:p>
    <w:p w14:paraId="00000174" w14:textId="77777777" w:rsidR="009D7C1F" w:rsidRDefault="009D7C1F">
      <w:pPr>
        <w:jc w:val="both"/>
        <w:rPr>
          <w:rFonts w:ascii="Arial" w:eastAsia="Arial" w:hAnsi="Arial" w:cs="Arial"/>
          <w:color w:val="001D35"/>
        </w:rPr>
      </w:pPr>
    </w:p>
    <w:p w14:paraId="00000175" w14:textId="77777777" w:rsidR="009D7C1F" w:rsidRDefault="00000000">
      <w:pPr>
        <w:spacing w:before="280" w:after="280"/>
        <w:jc w:val="both"/>
        <w:rPr>
          <w:rFonts w:ascii="Arial" w:eastAsia="Arial" w:hAnsi="Arial" w:cs="Arial"/>
          <w:b/>
          <w:bCs/>
        </w:rPr>
      </w:pPr>
      <w:sdt>
        <w:sdtPr>
          <w:tag w:val="goog_rdk_17"/>
          <w:id w:val="638319076"/>
        </w:sdtPr>
        <w:sdtContent>
          <w:commentRangeStart w:id="19"/>
        </w:sdtContent>
      </w:sdt>
      <w:sdt>
        <w:sdtPr>
          <w:tag w:val="goog_rdk_18"/>
          <w:id w:val="1042232372"/>
        </w:sdtPr>
        <w:sdtContent>
          <w:commentRangeStart w:id="20"/>
        </w:sdtContent>
      </w:sdt>
      <w:r>
        <w:rPr>
          <w:rFonts w:ascii="Arial" w:eastAsia="Arial" w:hAnsi="Arial" w:cs="Arial"/>
          <w:b/>
          <w:bCs/>
        </w:rPr>
        <w:t>Número de días al año con alerta por mala calidad del aire:</w:t>
      </w:r>
      <w:r>
        <w:rPr>
          <w:rFonts w:ascii="Arial" w:eastAsia="Arial" w:hAnsi="Arial" w:cs="Arial"/>
          <w:b/>
          <w:bCs/>
          <w:highlight w:val="yellow"/>
        </w:rPr>
        <w:t xml:space="preserve"> (Subdirección encargada de este bloque de preguntas SCAAV)</w:t>
      </w:r>
      <w:commentRangeEnd w:id="19"/>
      <w:r>
        <w:rPr>
          <w:rStyle w:val="Refdecomentario"/>
          <w:rFonts w:ascii="Arial" w:eastAsia="Arial" w:hAnsi="Arial" w:cs="Arial"/>
          <w:b/>
          <w:bCs/>
          <w:sz w:val="24"/>
          <w:szCs w:val="24"/>
        </w:rPr>
        <w:commentReference w:id="19"/>
      </w:r>
      <w:commentRangeEnd w:id="20"/>
      <w:r>
        <w:rPr>
          <w:rStyle w:val="Refdecomentario"/>
          <w:rFonts w:ascii="Arial" w:eastAsia="Arial" w:hAnsi="Arial" w:cs="Arial"/>
          <w:b/>
          <w:bCs/>
          <w:sz w:val="24"/>
          <w:szCs w:val="24"/>
        </w:rPr>
        <w:commentReference w:id="20"/>
      </w:r>
    </w:p>
    <w:p w14:paraId="00000176" w14:textId="77777777" w:rsidR="009D7C1F" w:rsidRDefault="00000000">
      <w:pPr>
        <w:numPr>
          <w:ilvl w:val="0"/>
          <w:numId w:val="6"/>
        </w:numPr>
        <w:spacing w:before="280"/>
        <w:jc w:val="both"/>
        <w:rPr>
          <w:rFonts w:ascii="Arial" w:eastAsia="Arial" w:hAnsi="Arial" w:cs="Arial"/>
        </w:rPr>
      </w:pPr>
      <w:r>
        <w:rPr>
          <w:rFonts w:ascii="Arial" w:eastAsia="Arial" w:hAnsi="Arial" w:cs="Arial"/>
        </w:rPr>
        <w:t>Indique el número de días al año en los que se ha activado alerta por mala calidad del aire en Bogotá, correspondiente al 2025.</w:t>
      </w:r>
    </w:p>
    <w:p w14:paraId="00000177" w14:textId="77777777" w:rsidR="009D7C1F" w:rsidRDefault="00000000">
      <w:pPr>
        <w:spacing w:before="240" w:after="240"/>
        <w:jc w:val="both"/>
        <w:rPr>
          <w:rFonts w:ascii="Arial" w:eastAsia="Arial" w:hAnsi="Arial" w:cs="Arial"/>
        </w:rPr>
      </w:pPr>
      <w:r>
        <w:rPr>
          <w:rFonts w:ascii="Arial" w:eastAsia="Arial" w:hAnsi="Arial" w:cs="Arial"/>
        </w:rPr>
        <w:t>Es importante precisar que, si bien durante el año 2025 se registraron excedencias puntuales en los límites máximos permisibles de contaminantes (PM2.5 y PM10) en estaciones críticas como Carvajal-Sevillana y Móvil Fontibón, estas no derivaron en la declaratoria formal de un Estado de Alerta o Emergencia por parte de la autoridad ambiental.</w:t>
      </w:r>
    </w:p>
    <w:p w14:paraId="00000178" w14:textId="77777777" w:rsidR="009D7C1F" w:rsidRDefault="00000000">
      <w:pPr>
        <w:spacing w:before="240" w:after="240"/>
        <w:jc w:val="both"/>
        <w:rPr>
          <w:rFonts w:ascii="Arial" w:eastAsia="Arial" w:hAnsi="Arial" w:cs="Arial"/>
        </w:rPr>
      </w:pPr>
      <w:r>
        <w:rPr>
          <w:rFonts w:ascii="Arial" w:eastAsia="Arial" w:hAnsi="Arial" w:cs="Arial"/>
        </w:rPr>
        <w:t>Lo anterior se debe a que, bajo la Resolución 2840 de 2023, una alerta solo se oficializa cuando el Protocolo de Respuesta a Episodios Críticos de Contaminación del Aire (IBOCA) confirma la permanencia de niveles de riesgo durante más de 48 horas consecutivas con un pronóstico de persistencia superior al 50% del tiempo. Por tanto, los datos analizados reflejan picos de contaminación técnica, mas no eventos de crisis administrativa declarada.</w:t>
      </w:r>
    </w:p>
    <w:p w14:paraId="00000179" w14:textId="77777777" w:rsidR="009D7C1F" w:rsidRDefault="009D7C1F">
      <w:pPr>
        <w:spacing w:before="280"/>
        <w:jc w:val="both"/>
        <w:rPr>
          <w:rFonts w:ascii="Arial" w:eastAsia="Arial" w:hAnsi="Arial" w:cs="Arial"/>
        </w:rPr>
      </w:pPr>
    </w:p>
    <w:p w14:paraId="0000017A" w14:textId="77777777" w:rsidR="009D7C1F" w:rsidRDefault="00000000">
      <w:pPr>
        <w:numPr>
          <w:ilvl w:val="0"/>
          <w:numId w:val="6"/>
        </w:numPr>
        <w:jc w:val="both"/>
        <w:rPr>
          <w:rFonts w:ascii="Arial" w:eastAsia="Arial" w:hAnsi="Arial" w:cs="Arial"/>
        </w:rPr>
      </w:pPr>
      <w:r>
        <w:rPr>
          <w:rFonts w:ascii="Arial" w:eastAsia="Arial" w:hAnsi="Arial" w:cs="Arial"/>
        </w:rPr>
        <w:t>Presente la evolución histórica del indicador en los últimos 10 años.</w:t>
      </w:r>
    </w:p>
    <w:p w14:paraId="0000017B" w14:textId="77777777" w:rsidR="009D7C1F" w:rsidRDefault="009D7C1F">
      <w:pPr>
        <w:ind w:left="720"/>
        <w:jc w:val="both"/>
        <w:rPr>
          <w:rFonts w:ascii="Arial" w:eastAsia="Arial" w:hAnsi="Arial" w:cs="Arial"/>
        </w:rPr>
      </w:pPr>
    </w:p>
    <w:p w14:paraId="0000017C" w14:textId="77777777" w:rsidR="009D7C1F" w:rsidRDefault="009D7C1F">
      <w:pPr>
        <w:jc w:val="both"/>
        <w:rPr>
          <w:rFonts w:ascii="Arial" w:eastAsia="Arial" w:hAnsi="Arial" w:cs="Arial"/>
        </w:rPr>
      </w:pPr>
    </w:p>
    <w:p w14:paraId="0000017D" w14:textId="77777777" w:rsidR="009D7C1F" w:rsidRDefault="00000000">
      <w:pPr>
        <w:jc w:val="both"/>
        <w:rPr>
          <w:rFonts w:ascii="Arial" w:eastAsia="Arial" w:hAnsi="Arial" w:cs="Arial"/>
        </w:rPr>
      </w:pPr>
      <w:r>
        <w:rPr>
          <w:rFonts w:ascii="Arial" w:eastAsia="Arial" w:hAnsi="Arial" w:cs="Arial"/>
        </w:rPr>
        <w:t>Tabla# Evolución del indicador en los últimos 10 años</w:t>
      </w:r>
    </w:p>
    <w:p w14:paraId="0000017E" w14:textId="77777777" w:rsidR="009D7C1F" w:rsidRDefault="009D7C1F">
      <w:pPr>
        <w:jc w:val="both"/>
        <w:rPr>
          <w:rFonts w:ascii="Arial" w:eastAsia="Arial" w:hAnsi="Arial" w:cs="Arial"/>
        </w:rPr>
      </w:pPr>
    </w:p>
    <w:p w14:paraId="0000017F" w14:textId="77777777" w:rsidR="009D7C1F" w:rsidRDefault="009D7C1F">
      <w:pPr>
        <w:jc w:val="both"/>
        <w:rPr>
          <w:rFonts w:ascii="Arial" w:eastAsia="Arial" w:hAnsi="Arial" w:cs="Arial"/>
        </w:rPr>
      </w:pPr>
    </w:p>
    <w:tbl>
      <w:tblPr>
        <w:tblStyle w:val="a1"/>
        <w:tblW w:w="9404" w:type="dxa"/>
        <w:tblInd w:w="1" w:type="dxa"/>
        <w:tblBorders>
          <w:top w:val="nil"/>
          <w:left w:val="nil"/>
          <w:bottom w:val="nil"/>
          <w:right w:val="nil"/>
          <w:insideH w:val="nil"/>
          <w:insideV w:val="nil"/>
        </w:tblBorders>
        <w:tblLayout w:type="fixed"/>
        <w:tblLook w:val="0600" w:firstRow="0" w:lastRow="0" w:firstColumn="0" w:lastColumn="0" w:noHBand="1" w:noVBand="1"/>
      </w:tblPr>
      <w:tblGrid>
        <w:gridCol w:w="1360"/>
        <w:gridCol w:w="2028"/>
        <w:gridCol w:w="1361"/>
        <w:gridCol w:w="1361"/>
        <w:gridCol w:w="3294"/>
      </w:tblGrid>
      <w:tr w:rsidR="009D7C1F" w14:paraId="33C39F20" w14:textId="77777777">
        <w:trPr>
          <w:trHeight w:val="735"/>
        </w:trPr>
        <w:tc>
          <w:tcPr>
            <w:tcW w:w="136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00000180" w14:textId="77777777" w:rsidR="009D7C1F" w:rsidRDefault="00000000">
            <w:pPr>
              <w:widowControl w:val="0"/>
              <w:spacing w:line="276" w:lineRule="auto"/>
              <w:rPr>
                <w:rFonts w:ascii="Arial" w:eastAsia="Arial" w:hAnsi="Arial" w:cs="Arial"/>
                <w:sz w:val="20"/>
                <w:szCs w:val="20"/>
              </w:rPr>
            </w:pPr>
            <w:r>
              <w:rPr>
                <w:rFonts w:ascii="Arial" w:eastAsia="Arial" w:hAnsi="Arial" w:cs="Arial"/>
                <w:sz w:val="20"/>
                <w:szCs w:val="20"/>
              </w:rPr>
              <w:t>Año</w:t>
            </w:r>
          </w:p>
        </w:tc>
        <w:tc>
          <w:tcPr>
            <w:tcW w:w="2027"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bottom"/>
          </w:tcPr>
          <w:p w14:paraId="00000181" w14:textId="77777777" w:rsidR="009D7C1F" w:rsidRDefault="00000000">
            <w:pPr>
              <w:widowControl w:val="0"/>
              <w:spacing w:line="276" w:lineRule="auto"/>
              <w:rPr>
                <w:rFonts w:ascii="Arial" w:eastAsia="Arial" w:hAnsi="Arial" w:cs="Arial"/>
                <w:sz w:val="20"/>
                <w:szCs w:val="20"/>
              </w:rPr>
            </w:pPr>
            <w:r>
              <w:rPr>
                <w:rFonts w:ascii="Arial" w:eastAsia="Arial" w:hAnsi="Arial" w:cs="Arial"/>
                <w:sz w:val="20"/>
                <w:szCs w:val="20"/>
              </w:rPr>
              <w:t>Eventos de Alerta Declarados</w:t>
            </w:r>
          </w:p>
        </w:tc>
        <w:tc>
          <w:tcPr>
            <w:tcW w:w="1360"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bottom"/>
          </w:tcPr>
          <w:p w14:paraId="00000182" w14:textId="77777777" w:rsidR="009D7C1F" w:rsidRDefault="00000000">
            <w:pPr>
              <w:widowControl w:val="0"/>
              <w:spacing w:line="276" w:lineRule="auto"/>
              <w:rPr>
                <w:rFonts w:ascii="Arial" w:eastAsia="Arial" w:hAnsi="Arial" w:cs="Arial"/>
                <w:sz w:val="20"/>
                <w:szCs w:val="20"/>
              </w:rPr>
            </w:pPr>
            <w:r>
              <w:rPr>
                <w:rFonts w:ascii="Arial" w:eastAsia="Arial" w:hAnsi="Arial" w:cs="Arial"/>
                <w:sz w:val="20"/>
                <w:szCs w:val="20"/>
              </w:rPr>
              <w:t>Total Días en Alerta</w:t>
            </w:r>
          </w:p>
        </w:tc>
        <w:tc>
          <w:tcPr>
            <w:tcW w:w="1360"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bottom"/>
          </w:tcPr>
          <w:p w14:paraId="00000183" w14:textId="77777777" w:rsidR="009D7C1F" w:rsidRDefault="00000000">
            <w:pPr>
              <w:widowControl w:val="0"/>
              <w:spacing w:line="276" w:lineRule="auto"/>
              <w:rPr>
                <w:rFonts w:ascii="Arial" w:eastAsia="Arial" w:hAnsi="Arial" w:cs="Arial"/>
                <w:sz w:val="20"/>
                <w:szCs w:val="20"/>
              </w:rPr>
            </w:pPr>
            <w:r>
              <w:rPr>
                <w:rFonts w:ascii="Arial" w:eastAsia="Arial" w:hAnsi="Arial" w:cs="Arial"/>
                <w:sz w:val="20"/>
                <w:szCs w:val="20"/>
              </w:rPr>
              <w:t>% Riesgo Anual (Frecuencia)</w:t>
            </w:r>
          </w:p>
        </w:tc>
        <w:tc>
          <w:tcPr>
            <w:tcW w:w="3293"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bottom"/>
          </w:tcPr>
          <w:p w14:paraId="00000184" w14:textId="77777777" w:rsidR="009D7C1F" w:rsidRDefault="00000000">
            <w:pPr>
              <w:widowControl w:val="0"/>
              <w:spacing w:line="276" w:lineRule="auto"/>
              <w:rPr>
                <w:rFonts w:ascii="Arial" w:eastAsia="Arial" w:hAnsi="Arial" w:cs="Arial"/>
                <w:sz w:val="20"/>
                <w:szCs w:val="20"/>
              </w:rPr>
            </w:pPr>
            <w:r>
              <w:rPr>
                <w:rFonts w:ascii="Arial" w:eastAsia="Arial" w:hAnsi="Arial" w:cs="Arial"/>
                <w:sz w:val="20"/>
                <w:szCs w:val="20"/>
              </w:rPr>
              <w:t>Causa Principal del Riesgo</w:t>
            </w:r>
          </w:p>
        </w:tc>
      </w:tr>
      <w:tr w:rsidR="009D7C1F" w14:paraId="72BC4D6A" w14:textId="77777777">
        <w:trPr>
          <w:trHeight w:val="315"/>
        </w:trPr>
        <w:tc>
          <w:tcPr>
            <w:tcW w:w="1360" w:type="dxa"/>
            <w:tcBorders>
              <w:top w:val="single" w:sz="5" w:space="0" w:color="CCCCCC"/>
              <w:left w:val="single" w:sz="5" w:space="0" w:color="000000"/>
              <w:bottom w:val="single" w:sz="5" w:space="0" w:color="000000"/>
              <w:right w:val="single" w:sz="5" w:space="0" w:color="000000"/>
            </w:tcBorders>
            <w:tcMar>
              <w:top w:w="40" w:type="dxa"/>
              <w:left w:w="40" w:type="dxa"/>
              <w:bottom w:w="40" w:type="dxa"/>
              <w:right w:w="40" w:type="dxa"/>
            </w:tcMar>
            <w:vAlign w:val="bottom"/>
          </w:tcPr>
          <w:p w14:paraId="00000185" w14:textId="77777777" w:rsidR="009D7C1F" w:rsidRDefault="00000000">
            <w:pPr>
              <w:widowControl w:val="0"/>
              <w:spacing w:line="276" w:lineRule="auto"/>
              <w:jc w:val="right"/>
              <w:rPr>
                <w:rFonts w:ascii="Arial" w:eastAsia="Arial" w:hAnsi="Arial" w:cs="Arial"/>
                <w:sz w:val="20"/>
                <w:szCs w:val="20"/>
              </w:rPr>
            </w:pPr>
            <w:r>
              <w:rPr>
                <w:rFonts w:ascii="Arial" w:eastAsia="Arial" w:hAnsi="Arial" w:cs="Arial"/>
                <w:sz w:val="20"/>
                <w:szCs w:val="20"/>
              </w:rPr>
              <w:t>2018</w:t>
            </w:r>
          </w:p>
        </w:tc>
        <w:tc>
          <w:tcPr>
            <w:tcW w:w="2027"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00000186" w14:textId="77777777" w:rsidR="009D7C1F" w:rsidRDefault="00000000">
            <w:pPr>
              <w:widowControl w:val="0"/>
              <w:spacing w:line="276" w:lineRule="auto"/>
              <w:rPr>
                <w:rFonts w:ascii="Arial" w:eastAsia="Arial" w:hAnsi="Arial" w:cs="Arial"/>
                <w:sz w:val="20"/>
                <w:szCs w:val="20"/>
              </w:rPr>
            </w:pPr>
            <w:r>
              <w:rPr>
                <w:rFonts w:ascii="Arial" w:eastAsia="Arial" w:hAnsi="Arial" w:cs="Arial"/>
                <w:sz w:val="20"/>
                <w:szCs w:val="20"/>
              </w:rPr>
              <w:t>1 (Ciudad)</w:t>
            </w:r>
          </w:p>
        </w:tc>
        <w:tc>
          <w:tcPr>
            <w:tcW w:w="136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00000187" w14:textId="77777777" w:rsidR="009D7C1F" w:rsidRDefault="00000000">
            <w:pPr>
              <w:widowControl w:val="0"/>
              <w:spacing w:line="276" w:lineRule="auto"/>
              <w:jc w:val="right"/>
              <w:rPr>
                <w:rFonts w:ascii="Arial" w:eastAsia="Arial" w:hAnsi="Arial" w:cs="Arial"/>
                <w:sz w:val="20"/>
                <w:szCs w:val="20"/>
              </w:rPr>
            </w:pPr>
            <w:r>
              <w:rPr>
                <w:rFonts w:ascii="Arial" w:eastAsia="Arial" w:hAnsi="Arial" w:cs="Arial"/>
                <w:sz w:val="20"/>
                <w:szCs w:val="20"/>
              </w:rPr>
              <w:t>7</w:t>
            </w:r>
          </w:p>
        </w:tc>
        <w:tc>
          <w:tcPr>
            <w:tcW w:w="136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00000188" w14:textId="77777777" w:rsidR="009D7C1F" w:rsidRDefault="00000000">
            <w:pPr>
              <w:widowControl w:val="0"/>
              <w:spacing w:line="276" w:lineRule="auto"/>
              <w:jc w:val="right"/>
              <w:rPr>
                <w:rFonts w:ascii="Arial" w:eastAsia="Arial" w:hAnsi="Arial" w:cs="Arial"/>
                <w:sz w:val="20"/>
                <w:szCs w:val="20"/>
              </w:rPr>
            </w:pPr>
            <w:r>
              <w:rPr>
                <w:rFonts w:ascii="Arial" w:eastAsia="Arial" w:hAnsi="Arial" w:cs="Arial"/>
                <w:sz w:val="20"/>
                <w:szCs w:val="20"/>
              </w:rPr>
              <w:t>1.90%</w:t>
            </w:r>
          </w:p>
        </w:tc>
        <w:tc>
          <w:tcPr>
            <w:tcW w:w="3293"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00000189" w14:textId="77777777" w:rsidR="009D7C1F" w:rsidRDefault="00000000">
            <w:pPr>
              <w:widowControl w:val="0"/>
              <w:spacing w:line="276" w:lineRule="auto"/>
              <w:rPr>
                <w:rFonts w:ascii="Arial" w:eastAsia="Arial" w:hAnsi="Arial" w:cs="Arial"/>
                <w:sz w:val="20"/>
                <w:szCs w:val="20"/>
              </w:rPr>
            </w:pPr>
            <w:r>
              <w:rPr>
                <w:rFonts w:ascii="Arial" w:eastAsia="Arial" w:hAnsi="Arial" w:cs="Arial"/>
                <w:sz w:val="20"/>
                <w:szCs w:val="20"/>
              </w:rPr>
              <w:t>Incendios Orinoquía / Polvo del Sahara</w:t>
            </w:r>
          </w:p>
        </w:tc>
      </w:tr>
      <w:tr w:rsidR="009D7C1F" w14:paraId="3CF2BD97" w14:textId="77777777">
        <w:trPr>
          <w:trHeight w:val="510"/>
        </w:trPr>
        <w:tc>
          <w:tcPr>
            <w:tcW w:w="1360" w:type="dxa"/>
            <w:tcBorders>
              <w:top w:val="single" w:sz="5" w:space="0" w:color="CCCCCC"/>
              <w:left w:val="single" w:sz="5" w:space="0" w:color="000000"/>
              <w:bottom w:val="single" w:sz="5" w:space="0" w:color="000000"/>
              <w:right w:val="single" w:sz="5" w:space="0" w:color="000000"/>
            </w:tcBorders>
            <w:tcMar>
              <w:top w:w="40" w:type="dxa"/>
              <w:left w:w="40" w:type="dxa"/>
              <w:bottom w:w="40" w:type="dxa"/>
              <w:right w:w="40" w:type="dxa"/>
            </w:tcMar>
            <w:vAlign w:val="bottom"/>
          </w:tcPr>
          <w:p w14:paraId="0000018A" w14:textId="77777777" w:rsidR="009D7C1F" w:rsidRDefault="00000000">
            <w:pPr>
              <w:widowControl w:val="0"/>
              <w:spacing w:line="276" w:lineRule="auto"/>
              <w:jc w:val="right"/>
              <w:rPr>
                <w:rFonts w:ascii="Arial" w:eastAsia="Arial" w:hAnsi="Arial" w:cs="Arial"/>
                <w:sz w:val="20"/>
                <w:szCs w:val="20"/>
              </w:rPr>
            </w:pPr>
            <w:r>
              <w:rPr>
                <w:rFonts w:ascii="Arial" w:eastAsia="Arial" w:hAnsi="Arial" w:cs="Arial"/>
                <w:sz w:val="20"/>
                <w:szCs w:val="20"/>
              </w:rPr>
              <w:t>2019</w:t>
            </w:r>
          </w:p>
        </w:tc>
        <w:tc>
          <w:tcPr>
            <w:tcW w:w="2027"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0000018B" w14:textId="77777777" w:rsidR="009D7C1F" w:rsidRDefault="00000000">
            <w:pPr>
              <w:widowControl w:val="0"/>
              <w:spacing w:line="276" w:lineRule="auto"/>
              <w:rPr>
                <w:rFonts w:ascii="Arial" w:eastAsia="Arial" w:hAnsi="Arial" w:cs="Arial"/>
                <w:sz w:val="20"/>
                <w:szCs w:val="20"/>
              </w:rPr>
            </w:pPr>
            <w:r>
              <w:rPr>
                <w:rFonts w:ascii="Arial" w:eastAsia="Arial" w:hAnsi="Arial" w:cs="Arial"/>
                <w:sz w:val="20"/>
                <w:szCs w:val="20"/>
              </w:rPr>
              <w:t>4 (Suroccidente/Ciudad)</w:t>
            </w:r>
          </w:p>
        </w:tc>
        <w:tc>
          <w:tcPr>
            <w:tcW w:w="136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0000018C" w14:textId="77777777" w:rsidR="009D7C1F" w:rsidRDefault="00000000">
            <w:pPr>
              <w:widowControl w:val="0"/>
              <w:spacing w:line="276" w:lineRule="auto"/>
              <w:jc w:val="right"/>
              <w:rPr>
                <w:rFonts w:ascii="Arial" w:eastAsia="Arial" w:hAnsi="Arial" w:cs="Arial"/>
                <w:sz w:val="20"/>
                <w:szCs w:val="20"/>
              </w:rPr>
            </w:pPr>
            <w:r>
              <w:rPr>
                <w:rFonts w:ascii="Arial" w:eastAsia="Arial" w:hAnsi="Arial" w:cs="Arial"/>
                <w:sz w:val="20"/>
                <w:szCs w:val="20"/>
              </w:rPr>
              <w:t>12</w:t>
            </w:r>
          </w:p>
        </w:tc>
        <w:tc>
          <w:tcPr>
            <w:tcW w:w="136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0000018D" w14:textId="77777777" w:rsidR="009D7C1F" w:rsidRDefault="00000000">
            <w:pPr>
              <w:widowControl w:val="0"/>
              <w:spacing w:line="276" w:lineRule="auto"/>
              <w:jc w:val="right"/>
              <w:rPr>
                <w:rFonts w:ascii="Arial" w:eastAsia="Arial" w:hAnsi="Arial" w:cs="Arial"/>
                <w:sz w:val="20"/>
                <w:szCs w:val="20"/>
              </w:rPr>
            </w:pPr>
            <w:r>
              <w:rPr>
                <w:rFonts w:ascii="Arial" w:eastAsia="Arial" w:hAnsi="Arial" w:cs="Arial"/>
                <w:sz w:val="20"/>
                <w:szCs w:val="20"/>
              </w:rPr>
              <w:t>3.30%</w:t>
            </w:r>
          </w:p>
        </w:tc>
        <w:tc>
          <w:tcPr>
            <w:tcW w:w="3293"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0000018E" w14:textId="77777777" w:rsidR="009D7C1F" w:rsidRDefault="00000000">
            <w:pPr>
              <w:widowControl w:val="0"/>
              <w:spacing w:line="276" w:lineRule="auto"/>
              <w:rPr>
                <w:rFonts w:ascii="Arial" w:eastAsia="Arial" w:hAnsi="Arial" w:cs="Arial"/>
                <w:sz w:val="20"/>
                <w:szCs w:val="20"/>
              </w:rPr>
            </w:pPr>
            <w:r>
              <w:rPr>
                <w:rFonts w:ascii="Arial" w:eastAsia="Arial" w:hAnsi="Arial" w:cs="Arial"/>
                <w:sz w:val="20"/>
                <w:szCs w:val="20"/>
              </w:rPr>
              <w:t>Inversión térmica y vientos del occidente</w:t>
            </w:r>
          </w:p>
        </w:tc>
      </w:tr>
      <w:tr w:rsidR="009D7C1F" w14:paraId="47601ADA" w14:textId="77777777">
        <w:trPr>
          <w:trHeight w:val="510"/>
        </w:trPr>
        <w:tc>
          <w:tcPr>
            <w:tcW w:w="1360" w:type="dxa"/>
            <w:tcBorders>
              <w:top w:val="single" w:sz="5" w:space="0" w:color="CCCCCC"/>
              <w:left w:val="single" w:sz="5" w:space="0" w:color="000000"/>
              <w:bottom w:val="single" w:sz="5" w:space="0" w:color="000000"/>
              <w:right w:val="single" w:sz="5" w:space="0" w:color="000000"/>
            </w:tcBorders>
            <w:tcMar>
              <w:top w:w="40" w:type="dxa"/>
              <w:left w:w="40" w:type="dxa"/>
              <w:bottom w:w="40" w:type="dxa"/>
              <w:right w:w="40" w:type="dxa"/>
            </w:tcMar>
            <w:vAlign w:val="bottom"/>
          </w:tcPr>
          <w:p w14:paraId="0000018F" w14:textId="77777777" w:rsidR="009D7C1F" w:rsidRDefault="00000000">
            <w:pPr>
              <w:widowControl w:val="0"/>
              <w:spacing w:line="276" w:lineRule="auto"/>
              <w:jc w:val="right"/>
              <w:rPr>
                <w:rFonts w:ascii="Arial" w:eastAsia="Arial" w:hAnsi="Arial" w:cs="Arial"/>
                <w:sz w:val="20"/>
                <w:szCs w:val="20"/>
              </w:rPr>
            </w:pPr>
            <w:r>
              <w:rPr>
                <w:rFonts w:ascii="Arial" w:eastAsia="Arial" w:hAnsi="Arial" w:cs="Arial"/>
                <w:sz w:val="20"/>
                <w:szCs w:val="20"/>
              </w:rPr>
              <w:t>2020</w:t>
            </w:r>
          </w:p>
        </w:tc>
        <w:tc>
          <w:tcPr>
            <w:tcW w:w="2027"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00000190" w14:textId="77777777" w:rsidR="009D7C1F" w:rsidRDefault="00000000">
            <w:pPr>
              <w:widowControl w:val="0"/>
              <w:spacing w:line="276" w:lineRule="auto"/>
              <w:rPr>
                <w:rFonts w:ascii="Arial" w:eastAsia="Arial" w:hAnsi="Arial" w:cs="Arial"/>
                <w:sz w:val="20"/>
                <w:szCs w:val="20"/>
              </w:rPr>
            </w:pPr>
            <w:r>
              <w:rPr>
                <w:rFonts w:ascii="Arial" w:eastAsia="Arial" w:hAnsi="Arial" w:cs="Arial"/>
                <w:sz w:val="20"/>
                <w:szCs w:val="20"/>
              </w:rPr>
              <w:t>2 (Suroccidente/Ciudad)</w:t>
            </w:r>
          </w:p>
        </w:tc>
        <w:tc>
          <w:tcPr>
            <w:tcW w:w="136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00000191" w14:textId="77777777" w:rsidR="009D7C1F" w:rsidRDefault="00000000">
            <w:pPr>
              <w:widowControl w:val="0"/>
              <w:spacing w:line="276" w:lineRule="auto"/>
              <w:jc w:val="right"/>
              <w:rPr>
                <w:rFonts w:ascii="Arial" w:eastAsia="Arial" w:hAnsi="Arial" w:cs="Arial"/>
                <w:sz w:val="20"/>
                <w:szCs w:val="20"/>
              </w:rPr>
            </w:pPr>
            <w:r>
              <w:rPr>
                <w:rFonts w:ascii="Arial" w:eastAsia="Arial" w:hAnsi="Arial" w:cs="Arial"/>
                <w:sz w:val="20"/>
                <w:szCs w:val="20"/>
              </w:rPr>
              <w:t>41</w:t>
            </w:r>
          </w:p>
        </w:tc>
        <w:tc>
          <w:tcPr>
            <w:tcW w:w="136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00000192" w14:textId="77777777" w:rsidR="009D7C1F" w:rsidRDefault="00000000">
            <w:pPr>
              <w:widowControl w:val="0"/>
              <w:spacing w:line="276" w:lineRule="auto"/>
              <w:jc w:val="right"/>
              <w:rPr>
                <w:rFonts w:ascii="Arial" w:eastAsia="Arial" w:hAnsi="Arial" w:cs="Arial"/>
                <w:sz w:val="20"/>
                <w:szCs w:val="20"/>
              </w:rPr>
            </w:pPr>
            <w:r>
              <w:rPr>
                <w:rFonts w:ascii="Arial" w:eastAsia="Arial" w:hAnsi="Arial" w:cs="Arial"/>
                <w:sz w:val="20"/>
                <w:szCs w:val="20"/>
              </w:rPr>
              <w:t>11.20%</w:t>
            </w:r>
          </w:p>
        </w:tc>
        <w:tc>
          <w:tcPr>
            <w:tcW w:w="3293"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00000193" w14:textId="77777777" w:rsidR="009D7C1F" w:rsidRDefault="00000000">
            <w:pPr>
              <w:widowControl w:val="0"/>
              <w:spacing w:line="276" w:lineRule="auto"/>
              <w:rPr>
                <w:rFonts w:ascii="Arial" w:eastAsia="Arial" w:hAnsi="Arial" w:cs="Arial"/>
                <w:sz w:val="20"/>
                <w:szCs w:val="20"/>
              </w:rPr>
            </w:pPr>
            <w:r>
              <w:rPr>
                <w:rFonts w:ascii="Arial" w:eastAsia="Arial" w:hAnsi="Arial" w:cs="Arial"/>
                <w:sz w:val="20"/>
                <w:szCs w:val="20"/>
              </w:rPr>
              <w:t>Incendios regionales (Meta/Guaviare)</w:t>
            </w:r>
          </w:p>
        </w:tc>
      </w:tr>
      <w:tr w:rsidR="009D7C1F" w14:paraId="4CF30499" w14:textId="77777777">
        <w:trPr>
          <w:trHeight w:val="315"/>
        </w:trPr>
        <w:tc>
          <w:tcPr>
            <w:tcW w:w="1360" w:type="dxa"/>
            <w:tcBorders>
              <w:top w:val="single" w:sz="5" w:space="0" w:color="CCCCCC"/>
              <w:left w:val="single" w:sz="5" w:space="0" w:color="000000"/>
              <w:bottom w:val="single" w:sz="5" w:space="0" w:color="000000"/>
              <w:right w:val="single" w:sz="5" w:space="0" w:color="000000"/>
            </w:tcBorders>
            <w:tcMar>
              <w:top w:w="40" w:type="dxa"/>
              <w:left w:w="40" w:type="dxa"/>
              <w:bottom w:w="40" w:type="dxa"/>
              <w:right w:w="40" w:type="dxa"/>
            </w:tcMar>
            <w:vAlign w:val="bottom"/>
          </w:tcPr>
          <w:p w14:paraId="00000194" w14:textId="77777777" w:rsidR="009D7C1F" w:rsidRDefault="00000000">
            <w:pPr>
              <w:widowControl w:val="0"/>
              <w:spacing w:line="276" w:lineRule="auto"/>
              <w:jc w:val="right"/>
              <w:rPr>
                <w:rFonts w:ascii="Arial" w:eastAsia="Arial" w:hAnsi="Arial" w:cs="Arial"/>
                <w:sz w:val="20"/>
                <w:szCs w:val="20"/>
              </w:rPr>
            </w:pPr>
            <w:r>
              <w:rPr>
                <w:rFonts w:ascii="Arial" w:eastAsia="Arial" w:hAnsi="Arial" w:cs="Arial"/>
                <w:sz w:val="20"/>
                <w:szCs w:val="20"/>
              </w:rPr>
              <w:t>2021</w:t>
            </w:r>
          </w:p>
        </w:tc>
        <w:tc>
          <w:tcPr>
            <w:tcW w:w="2027"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00000195" w14:textId="77777777" w:rsidR="009D7C1F" w:rsidRDefault="00000000">
            <w:pPr>
              <w:widowControl w:val="0"/>
              <w:spacing w:line="276" w:lineRule="auto"/>
              <w:rPr>
                <w:rFonts w:ascii="Arial" w:eastAsia="Arial" w:hAnsi="Arial" w:cs="Arial"/>
                <w:sz w:val="20"/>
                <w:szCs w:val="20"/>
              </w:rPr>
            </w:pPr>
            <w:r>
              <w:rPr>
                <w:rFonts w:ascii="Arial" w:eastAsia="Arial" w:hAnsi="Arial" w:cs="Arial"/>
                <w:sz w:val="20"/>
                <w:szCs w:val="20"/>
              </w:rPr>
              <w:t>(Sin alertas registradas)</w:t>
            </w:r>
          </w:p>
        </w:tc>
        <w:tc>
          <w:tcPr>
            <w:tcW w:w="136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00000196" w14:textId="77777777" w:rsidR="009D7C1F" w:rsidRDefault="00000000">
            <w:pPr>
              <w:widowControl w:val="0"/>
              <w:spacing w:line="276" w:lineRule="auto"/>
              <w:jc w:val="right"/>
              <w:rPr>
                <w:rFonts w:ascii="Arial" w:eastAsia="Arial" w:hAnsi="Arial" w:cs="Arial"/>
                <w:sz w:val="20"/>
                <w:szCs w:val="20"/>
              </w:rPr>
            </w:pPr>
            <w:r>
              <w:rPr>
                <w:rFonts w:ascii="Arial" w:eastAsia="Arial" w:hAnsi="Arial" w:cs="Arial"/>
                <w:sz w:val="20"/>
                <w:szCs w:val="20"/>
              </w:rPr>
              <w:t>0</w:t>
            </w:r>
          </w:p>
        </w:tc>
        <w:tc>
          <w:tcPr>
            <w:tcW w:w="136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00000197" w14:textId="77777777" w:rsidR="009D7C1F" w:rsidRDefault="00000000">
            <w:pPr>
              <w:widowControl w:val="0"/>
              <w:spacing w:line="276" w:lineRule="auto"/>
              <w:jc w:val="right"/>
              <w:rPr>
                <w:rFonts w:ascii="Arial" w:eastAsia="Arial" w:hAnsi="Arial" w:cs="Arial"/>
                <w:sz w:val="20"/>
                <w:szCs w:val="20"/>
              </w:rPr>
            </w:pPr>
            <w:r>
              <w:rPr>
                <w:rFonts w:ascii="Arial" w:eastAsia="Arial" w:hAnsi="Arial" w:cs="Arial"/>
                <w:sz w:val="20"/>
                <w:szCs w:val="20"/>
              </w:rPr>
              <w:t>0.00%</w:t>
            </w:r>
          </w:p>
        </w:tc>
        <w:tc>
          <w:tcPr>
            <w:tcW w:w="3293"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00000198" w14:textId="77777777" w:rsidR="009D7C1F" w:rsidRDefault="00000000">
            <w:pPr>
              <w:widowControl w:val="0"/>
              <w:spacing w:line="276" w:lineRule="auto"/>
              <w:rPr>
                <w:rFonts w:ascii="Arial" w:eastAsia="Arial" w:hAnsi="Arial" w:cs="Arial"/>
                <w:sz w:val="20"/>
                <w:szCs w:val="20"/>
              </w:rPr>
            </w:pPr>
            <w:r>
              <w:rPr>
                <w:rFonts w:ascii="Arial" w:eastAsia="Arial" w:hAnsi="Arial" w:cs="Arial"/>
                <w:sz w:val="20"/>
                <w:szCs w:val="20"/>
              </w:rPr>
              <w:t>Restricciones por pandemia</w:t>
            </w:r>
          </w:p>
        </w:tc>
      </w:tr>
      <w:tr w:rsidR="009D7C1F" w14:paraId="22042E89" w14:textId="77777777">
        <w:trPr>
          <w:trHeight w:val="315"/>
        </w:trPr>
        <w:tc>
          <w:tcPr>
            <w:tcW w:w="1360" w:type="dxa"/>
            <w:tcBorders>
              <w:top w:val="single" w:sz="5" w:space="0" w:color="CCCCCC"/>
              <w:left w:val="single" w:sz="5" w:space="0" w:color="000000"/>
              <w:bottom w:val="single" w:sz="5" w:space="0" w:color="000000"/>
              <w:right w:val="single" w:sz="5" w:space="0" w:color="000000"/>
            </w:tcBorders>
            <w:tcMar>
              <w:top w:w="40" w:type="dxa"/>
              <w:left w:w="40" w:type="dxa"/>
              <w:bottom w:w="40" w:type="dxa"/>
              <w:right w:w="40" w:type="dxa"/>
            </w:tcMar>
            <w:vAlign w:val="bottom"/>
          </w:tcPr>
          <w:p w14:paraId="00000199" w14:textId="77777777" w:rsidR="009D7C1F" w:rsidRDefault="00000000">
            <w:pPr>
              <w:widowControl w:val="0"/>
              <w:spacing w:line="276" w:lineRule="auto"/>
              <w:jc w:val="right"/>
              <w:rPr>
                <w:rFonts w:ascii="Arial" w:eastAsia="Arial" w:hAnsi="Arial" w:cs="Arial"/>
                <w:sz w:val="20"/>
                <w:szCs w:val="20"/>
              </w:rPr>
            </w:pPr>
            <w:r>
              <w:rPr>
                <w:rFonts w:ascii="Arial" w:eastAsia="Arial" w:hAnsi="Arial" w:cs="Arial"/>
                <w:sz w:val="20"/>
                <w:szCs w:val="20"/>
              </w:rPr>
              <w:t>2022</w:t>
            </w:r>
          </w:p>
        </w:tc>
        <w:tc>
          <w:tcPr>
            <w:tcW w:w="2027"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0000019A" w14:textId="77777777" w:rsidR="009D7C1F" w:rsidRDefault="00000000">
            <w:pPr>
              <w:widowControl w:val="0"/>
              <w:spacing w:line="276" w:lineRule="auto"/>
              <w:rPr>
                <w:rFonts w:ascii="Arial" w:eastAsia="Arial" w:hAnsi="Arial" w:cs="Arial"/>
                <w:sz w:val="20"/>
                <w:szCs w:val="20"/>
              </w:rPr>
            </w:pPr>
            <w:r>
              <w:rPr>
                <w:rFonts w:ascii="Arial" w:eastAsia="Arial" w:hAnsi="Arial" w:cs="Arial"/>
                <w:sz w:val="20"/>
                <w:szCs w:val="20"/>
              </w:rPr>
              <w:t>1 (Ciudad)</w:t>
            </w:r>
          </w:p>
        </w:tc>
        <w:tc>
          <w:tcPr>
            <w:tcW w:w="136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0000019B" w14:textId="77777777" w:rsidR="009D7C1F" w:rsidRDefault="00000000">
            <w:pPr>
              <w:widowControl w:val="0"/>
              <w:spacing w:line="276" w:lineRule="auto"/>
              <w:jc w:val="right"/>
              <w:rPr>
                <w:rFonts w:ascii="Arial" w:eastAsia="Arial" w:hAnsi="Arial" w:cs="Arial"/>
                <w:sz w:val="20"/>
                <w:szCs w:val="20"/>
              </w:rPr>
            </w:pPr>
            <w:r>
              <w:rPr>
                <w:rFonts w:ascii="Arial" w:eastAsia="Arial" w:hAnsi="Arial" w:cs="Arial"/>
                <w:sz w:val="20"/>
                <w:szCs w:val="20"/>
              </w:rPr>
              <w:t>8</w:t>
            </w:r>
          </w:p>
        </w:tc>
        <w:tc>
          <w:tcPr>
            <w:tcW w:w="136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0000019C" w14:textId="77777777" w:rsidR="009D7C1F" w:rsidRDefault="00000000">
            <w:pPr>
              <w:widowControl w:val="0"/>
              <w:spacing w:line="276" w:lineRule="auto"/>
              <w:jc w:val="right"/>
              <w:rPr>
                <w:rFonts w:ascii="Arial" w:eastAsia="Arial" w:hAnsi="Arial" w:cs="Arial"/>
                <w:sz w:val="20"/>
                <w:szCs w:val="20"/>
              </w:rPr>
            </w:pPr>
            <w:r>
              <w:rPr>
                <w:rFonts w:ascii="Arial" w:eastAsia="Arial" w:hAnsi="Arial" w:cs="Arial"/>
                <w:sz w:val="20"/>
                <w:szCs w:val="20"/>
              </w:rPr>
              <w:t>2.20%</w:t>
            </w:r>
          </w:p>
        </w:tc>
        <w:tc>
          <w:tcPr>
            <w:tcW w:w="3293"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0000019D" w14:textId="77777777" w:rsidR="009D7C1F" w:rsidRDefault="00000000">
            <w:pPr>
              <w:widowControl w:val="0"/>
              <w:spacing w:line="276" w:lineRule="auto"/>
              <w:rPr>
                <w:rFonts w:ascii="Arial" w:eastAsia="Arial" w:hAnsi="Arial" w:cs="Arial"/>
                <w:sz w:val="20"/>
                <w:szCs w:val="20"/>
              </w:rPr>
            </w:pPr>
            <w:r>
              <w:rPr>
                <w:rFonts w:ascii="Arial" w:eastAsia="Arial" w:hAnsi="Arial" w:cs="Arial"/>
                <w:sz w:val="20"/>
                <w:szCs w:val="20"/>
              </w:rPr>
              <w:t>Transporte de contaminantes regional</w:t>
            </w:r>
          </w:p>
        </w:tc>
      </w:tr>
      <w:tr w:rsidR="009D7C1F" w14:paraId="157A0627" w14:textId="77777777">
        <w:trPr>
          <w:trHeight w:val="510"/>
        </w:trPr>
        <w:tc>
          <w:tcPr>
            <w:tcW w:w="1360" w:type="dxa"/>
            <w:tcBorders>
              <w:top w:val="single" w:sz="5" w:space="0" w:color="CCCCCC"/>
              <w:left w:val="single" w:sz="5" w:space="0" w:color="000000"/>
              <w:bottom w:val="single" w:sz="5" w:space="0" w:color="000000"/>
              <w:right w:val="single" w:sz="5" w:space="0" w:color="000000"/>
            </w:tcBorders>
            <w:tcMar>
              <w:top w:w="40" w:type="dxa"/>
              <w:left w:w="40" w:type="dxa"/>
              <w:bottom w:w="40" w:type="dxa"/>
              <w:right w:w="40" w:type="dxa"/>
            </w:tcMar>
            <w:vAlign w:val="bottom"/>
          </w:tcPr>
          <w:p w14:paraId="0000019E" w14:textId="77777777" w:rsidR="009D7C1F" w:rsidRDefault="00000000">
            <w:pPr>
              <w:widowControl w:val="0"/>
              <w:spacing w:line="276" w:lineRule="auto"/>
              <w:jc w:val="right"/>
              <w:rPr>
                <w:rFonts w:ascii="Arial" w:eastAsia="Arial" w:hAnsi="Arial" w:cs="Arial"/>
                <w:sz w:val="20"/>
                <w:szCs w:val="20"/>
              </w:rPr>
            </w:pPr>
            <w:r>
              <w:rPr>
                <w:rFonts w:ascii="Arial" w:eastAsia="Arial" w:hAnsi="Arial" w:cs="Arial"/>
                <w:sz w:val="20"/>
                <w:szCs w:val="20"/>
              </w:rPr>
              <w:t>2023</w:t>
            </w:r>
          </w:p>
        </w:tc>
        <w:tc>
          <w:tcPr>
            <w:tcW w:w="2027"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0000019F" w14:textId="77777777" w:rsidR="009D7C1F" w:rsidRDefault="00000000">
            <w:pPr>
              <w:widowControl w:val="0"/>
              <w:spacing w:line="276" w:lineRule="auto"/>
              <w:rPr>
                <w:rFonts w:ascii="Arial" w:eastAsia="Arial" w:hAnsi="Arial" w:cs="Arial"/>
                <w:sz w:val="20"/>
                <w:szCs w:val="20"/>
              </w:rPr>
            </w:pPr>
            <w:r>
              <w:rPr>
                <w:rFonts w:ascii="Arial" w:eastAsia="Arial" w:hAnsi="Arial" w:cs="Arial"/>
                <w:sz w:val="20"/>
                <w:szCs w:val="20"/>
              </w:rPr>
              <w:t>3 (Suroccidente/Ciudad)</w:t>
            </w:r>
          </w:p>
        </w:tc>
        <w:tc>
          <w:tcPr>
            <w:tcW w:w="136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000001A0" w14:textId="77777777" w:rsidR="009D7C1F" w:rsidRDefault="00000000">
            <w:pPr>
              <w:widowControl w:val="0"/>
              <w:spacing w:line="276" w:lineRule="auto"/>
              <w:jc w:val="right"/>
              <w:rPr>
                <w:rFonts w:ascii="Arial" w:eastAsia="Arial" w:hAnsi="Arial" w:cs="Arial"/>
                <w:sz w:val="20"/>
                <w:szCs w:val="20"/>
              </w:rPr>
            </w:pPr>
            <w:r>
              <w:rPr>
                <w:rFonts w:ascii="Arial" w:eastAsia="Arial" w:hAnsi="Arial" w:cs="Arial"/>
                <w:sz w:val="20"/>
                <w:szCs w:val="20"/>
              </w:rPr>
              <w:t>23</w:t>
            </w:r>
          </w:p>
        </w:tc>
        <w:tc>
          <w:tcPr>
            <w:tcW w:w="136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000001A1" w14:textId="77777777" w:rsidR="009D7C1F" w:rsidRDefault="00000000">
            <w:pPr>
              <w:widowControl w:val="0"/>
              <w:spacing w:line="276" w:lineRule="auto"/>
              <w:jc w:val="right"/>
              <w:rPr>
                <w:rFonts w:ascii="Arial" w:eastAsia="Arial" w:hAnsi="Arial" w:cs="Arial"/>
                <w:sz w:val="20"/>
                <w:szCs w:val="20"/>
              </w:rPr>
            </w:pPr>
            <w:r>
              <w:rPr>
                <w:rFonts w:ascii="Arial" w:eastAsia="Arial" w:hAnsi="Arial" w:cs="Arial"/>
                <w:sz w:val="20"/>
                <w:szCs w:val="20"/>
              </w:rPr>
              <w:t>6.30%</w:t>
            </w:r>
          </w:p>
        </w:tc>
        <w:tc>
          <w:tcPr>
            <w:tcW w:w="3293"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000001A2" w14:textId="77777777" w:rsidR="009D7C1F" w:rsidRDefault="00000000">
            <w:pPr>
              <w:widowControl w:val="0"/>
              <w:spacing w:line="276" w:lineRule="auto"/>
              <w:rPr>
                <w:rFonts w:ascii="Arial" w:eastAsia="Arial" w:hAnsi="Arial" w:cs="Arial"/>
                <w:sz w:val="20"/>
                <w:szCs w:val="20"/>
              </w:rPr>
            </w:pPr>
            <w:r>
              <w:rPr>
                <w:rFonts w:ascii="Arial" w:eastAsia="Arial" w:hAnsi="Arial" w:cs="Arial"/>
                <w:sz w:val="20"/>
                <w:szCs w:val="20"/>
              </w:rPr>
              <w:t>Quemas en Orinoquía y Amazonía</w:t>
            </w:r>
          </w:p>
        </w:tc>
      </w:tr>
      <w:tr w:rsidR="009D7C1F" w14:paraId="054ACB7B" w14:textId="77777777">
        <w:trPr>
          <w:trHeight w:val="510"/>
        </w:trPr>
        <w:tc>
          <w:tcPr>
            <w:tcW w:w="1360" w:type="dxa"/>
            <w:tcBorders>
              <w:top w:val="single" w:sz="5" w:space="0" w:color="CCCCCC"/>
              <w:left w:val="single" w:sz="5" w:space="0" w:color="000000"/>
              <w:bottom w:val="single" w:sz="5" w:space="0" w:color="000000"/>
              <w:right w:val="single" w:sz="5" w:space="0" w:color="000000"/>
            </w:tcBorders>
            <w:tcMar>
              <w:top w:w="40" w:type="dxa"/>
              <w:left w:w="40" w:type="dxa"/>
              <w:bottom w:w="40" w:type="dxa"/>
              <w:right w:w="40" w:type="dxa"/>
            </w:tcMar>
            <w:vAlign w:val="bottom"/>
          </w:tcPr>
          <w:p w14:paraId="000001A3" w14:textId="77777777" w:rsidR="009D7C1F" w:rsidRDefault="00000000">
            <w:pPr>
              <w:widowControl w:val="0"/>
              <w:spacing w:line="276" w:lineRule="auto"/>
              <w:jc w:val="right"/>
              <w:rPr>
                <w:rFonts w:ascii="Arial" w:eastAsia="Arial" w:hAnsi="Arial" w:cs="Arial"/>
                <w:sz w:val="20"/>
                <w:szCs w:val="20"/>
              </w:rPr>
            </w:pPr>
            <w:r>
              <w:rPr>
                <w:rFonts w:ascii="Arial" w:eastAsia="Arial" w:hAnsi="Arial" w:cs="Arial"/>
                <w:sz w:val="20"/>
                <w:szCs w:val="20"/>
              </w:rPr>
              <w:t>2024</w:t>
            </w:r>
          </w:p>
        </w:tc>
        <w:tc>
          <w:tcPr>
            <w:tcW w:w="2027"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000001A4" w14:textId="77777777" w:rsidR="009D7C1F" w:rsidRDefault="00000000">
            <w:pPr>
              <w:widowControl w:val="0"/>
              <w:spacing w:line="276" w:lineRule="auto"/>
              <w:rPr>
                <w:rFonts w:ascii="Arial" w:eastAsia="Arial" w:hAnsi="Arial" w:cs="Arial"/>
                <w:sz w:val="20"/>
                <w:szCs w:val="20"/>
              </w:rPr>
            </w:pPr>
            <w:r>
              <w:rPr>
                <w:rFonts w:ascii="Arial" w:eastAsia="Arial" w:hAnsi="Arial" w:cs="Arial"/>
                <w:sz w:val="20"/>
                <w:szCs w:val="20"/>
              </w:rPr>
              <w:t>4 (Suroccidente/Ciudad)</w:t>
            </w:r>
          </w:p>
        </w:tc>
        <w:tc>
          <w:tcPr>
            <w:tcW w:w="136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000001A5" w14:textId="77777777" w:rsidR="009D7C1F" w:rsidRDefault="00000000">
            <w:pPr>
              <w:widowControl w:val="0"/>
              <w:spacing w:line="276" w:lineRule="auto"/>
              <w:jc w:val="right"/>
              <w:rPr>
                <w:rFonts w:ascii="Arial" w:eastAsia="Arial" w:hAnsi="Arial" w:cs="Arial"/>
                <w:sz w:val="20"/>
                <w:szCs w:val="20"/>
              </w:rPr>
            </w:pPr>
            <w:r>
              <w:rPr>
                <w:rFonts w:ascii="Arial" w:eastAsia="Arial" w:hAnsi="Arial" w:cs="Arial"/>
                <w:sz w:val="20"/>
                <w:szCs w:val="20"/>
              </w:rPr>
              <w:t>29</w:t>
            </w:r>
          </w:p>
        </w:tc>
        <w:tc>
          <w:tcPr>
            <w:tcW w:w="136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000001A6" w14:textId="77777777" w:rsidR="009D7C1F" w:rsidRDefault="00000000">
            <w:pPr>
              <w:widowControl w:val="0"/>
              <w:spacing w:line="276" w:lineRule="auto"/>
              <w:jc w:val="right"/>
              <w:rPr>
                <w:rFonts w:ascii="Arial" w:eastAsia="Arial" w:hAnsi="Arial" w:cs="Arial"/>
                <w:sz w:val="20"/>
                <w:szCs w:val="20"/>
              </w:rPr>
            </w:pPr>
            <w:r>
              <w:rPr>
                <w:rFonts w:ascii="Arial" w:eastAsia="Arial" w:hAnsi="Arial" w:cs="Arial"/>
                <w:sz w:val="20"/>
                <w:szCs w:val="20"/>
              </w:rPr>
              <w:t>7.90%</w:t>
            </w:r>
          </w:p>
        </w:tc>
        <w:tc>
          <w:tcPr>
            <w:tcW w:w="3293"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000001A7" w14:textId="77777777" w:rsidR="009D7C1F" w:rsidRDefault="00000000">
            <w:pPr>
              <w:widowControl w:val="0"/>
              <w:spacing w:line="276" w:lineRule="auto"/>
              <w:rPr>
                <w:rFonts w:ascii="Arial" w:eastAsia="Arial" w:hAnsi="Arial" w:cs="Arial"/>
                <w:sz w:val="20"/>
                <w:szCs w:val="20"/>
              </w:rPr>
            </w:pPr>
            <w:r>
              <w:rPr>
                <w:rFonts w:ascii="Arial" w:eastAsia="Arial" w:hAnsi="Arial" w:cs="Arial"/>
                <w:sz w:val="20"/>
                <w:szCs w:val="20"/>
              </w:rPr>
              <w:t>Incendios Cerros Orientales y Bosa</w:t>
            </w:r>
          </w:p>
        </w:tc>
      </w:tr>
      <w:tr w:rsidR="009D7C1F" w14:paraId="216CE1D6" w14:textId="77777777">
        <w:trPr>
          <w:trHeight w:val="315"/>
        </w:trPr>
        <w:tc>
          <w:tcPr>
            <w:tcW w:w="1360" w:type="dxa"/>
            <w:tcBorders>
              <w:top w:val="single" w:sz="5" w:space="0" w:color="CCCCCC"/>
              <w:left w:val="single" w:sz="5" w:space="0" w:color="000000"/>
              <w:bottom w:val="single" w:sz="5" w:space="0" w:color="000000"/>
              <w:right w:val="single" w:sz="5" w:space="0" w:color="000000"/>
            </w:tcBorders>
            <w:tcMar>
              <w:top w:w="40" w:type="dxa"/>
              <w:left w:w="40" w:type="dxa"/>
              <w:bottom w:w="40" w:type="dxa"/>
              <w:right w:w="40" w:type="dxa"/>
            </w:tcMar>
            <w:vAlign w:val="bottom"/>
          </w:tcPr>
          <w:p w14:paraId="000001A8" w14:textId="77777777" w:rsidR="009D7C1F" w:rsidRDefault="00000000">
            <w:pPr>
              <w:widowControl w:val="0"/>
              <w:spacing w:line="276" w:lineRule="auto"/>
              <w:jc w:val="right"/>
              <w:rPr>
                <w:rFonts w:ascii="Arial" w:eastAsia="Arial" w:hAnsi="Arial" w:cs="Arial"/>
                <w:sz w:val="20"/>
                <w:szCs w:val="20"/>
              </w:rPr>
            </w:pPr>
            <w:r>
              <w:rPr>
                <w:rFonts w:ascii="Arial" w:eastAsia="Arial" w:hAnsi="Arial" w:cs="Arial"/>
                <w:sz w:val="20"/>
                <w:szCs w:val="20"/>
              </w:rPr>
              <w:t>2025</w:t>
            </w:r>
          </w:p>
        </w:tc>
        <w:tc>
          <w:tcPr>
            <w:tcW w:w="2027"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000001A9" w14:textId="77777777" w:rsidR="009D7C1F" w:rsidRDefault="00000000">
            <w:pPr>
              <w:widowControl w:val="0"/>
              <w:spacing w:line="276" w:lineRule="auto"/>
              <w:rPr>
                <w:rFonts w:ascii="Arial" w:eastAsia="Arial" w:hAnsi="Arial" w:cs="Arial"/>
                <w:sz w:val="20"/>
                <w:szCs w:val="20"/>
              </w:rPr>
            </w:pPr>
            <w:r>
              <w:rPr>
                <w:rFonts w:ascii="Arial" w:eastAsia="Arial" w:hAnsi="Arial" w:cs="Arial"/>
                <w:sz w:val="20"/>
                <w:szCs w:val="20"/>
              </w:rPr>
              <w:t>(Episodios puntuales)</w:t>
            </w:r>
          </w:p>
        </w:tc>
        <w:tc>
          <w:tcPr>
            <w:tcW w:w="136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000001AA" w14:textId="77777777" w:rsidR="009D7C1F" w:rsidRDefault="00000000">
            <w:pPr>
              <w:widowControl w:val="0"/>
              <w:spacing w:line="276" w:lineRule="auto"/>
              <w:rPr>
                <w:rFonts w:ascii="Arial" w:eastAsia="Arial" w:hAnsi="Arial" w:cs="Arial"/>
                <w:sz w:val="20"/>
                <w:szCs w:val="20"/>
              </w:rPr>
            </w:pPr>
            <w:r>
              <w:rPr>
                <w:rFonts w:ascii="Arial" w:eastAsia="Arial" w:hAnsi="Arial" w:cs="Arial"/>
                <w:sz w:val="20"/>
                <w:szCs w:val="20"/>
              </w:rPr>
              <w:t>0*</w:t>
            </w:r>
          </w:p>
        </w:tc>
        <w:tc>
          <w:tcPr>
            <w:tcW w:w="136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000001AB" w14:textId="77777777" w:rsidR="009D7C1F" w:rsidRDefault="00000000">
            <w:pPr>
              <w:widowControl w:val="0"/>
              <w:spacing w:line="276" w:lineRule="auto"/>
              <w:jc w:val="right"/>
              <w:rPr>
                <w:rFonts w:ascii="Arial" w:eastAsia="Arial" w:hAnsi="Arial" w:cs="Arial"/>
                <w:sz w:val="20"/>
                <w:szCs w:val="20"/>
              </w:rPr>
            </w:pPr>
            <w:r>
              <w:rPr>
                <w:rFonts w:ascii="Arial" w:eastAsia="Arial" w:hAnsi="Arial" w:cs="Arial"/>
                <w:sz w:val="20"/>
                <w:szCs w:val="20"/>
              </w:rPr>
              <w:t>2.70%</w:t>
            </w:r>
          </w:p>
        </w:tc>
        <w:tc>
          <w:tcPr>
            <w:tcW w:w="3293"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000001AC" w14:textId="77777777" w:rsidR="009D7C1F" w:rsidRDefault="00000000">
            <w:pPr>
              <w:widowControl w:val="0"/>
              <w:spacing w:line="276" w:lineRule="auto"/>
              <w:rPr>
                <w:rFonts w:ascii="Arial" w:eastAsia="Arial" w:hAnsi="Arial" w:cs="Arial"/>
                <w:sz w:val="20"/>
                <w:szCs w:val="20"/>
              </w:rPr>
            </w:pPr>
            <w:r>
              <w:rPr>
                <w:rFonts w:ascii="Arial" w:eastAsia="Arial" w:hAnsi="Arial" w:cs="Arial"/>
                <w:sz w:val="20"/>
                <w:szCs w:val="20"/>
              </w:rPr>
              <w:t>Gestión localizada (ZUMA)</w:t>
            </w:r>
          </w:p>
        </w:tc>
      </w:tr>
    </w:tbl>
    <w:p w14:paraId="000001AD" w14:textId="77777777" w:rsidR="009D7C1F" w:rsidRDefault="009D7C1F">
      <w:pPr>
        <w:jc w:val="both"/>
        <w:rPr>
          <w:rFonts w:ascii="Arial" w:eastAsia="Arial" w:hAnsi="Arial" w:cs="Arial"/>
        </w:rPr>
      </w:pPr>
    </w:p>
    <w:p w14:paraId="000001AE" w14:textId="77777777" w:rsidR="009D7C1F" w:rsidRDefault="00000000">
      <w:pPr>
        <w:spacing w:before="240" w:after="240"/>
        <w:jc w:val="both"/>
        <w:rPr>
          <w:rFonts w:ascii="Arial" w:eastAsia="Arial" w:hAnsi="Arial" w:cs="Arial"/>
        </w:rPr>
      </w:pPr>
      <w:r>
        <w:rPr>
          <w:rFonts w:ascii="Arial" w:eastAsia="Arial" w:hAnsi="Arial" w:cs="Arial"/>
        </w:rPr>
        <w:t>En la tabla # la columna de % Riesgo Anual representa la frecuencia de días en los que la ciudad registró excedencias por encima de los límites máximos permisibles de PM2.5 establecidos en la normativa nacional y distrital vigente. Se ha incluido el Marco Normativo para garantizar la trazabilidad legal del análisis, reconociendo que la exigencia técnica ha evolucionado desde la Resolución 610 de 2010 hasta la actual Resolución 2840 de 2023 (IBOCA).</w:t>
      </w:r>
    </w:p>
    <w:p w14:paraId="000001AF" w14:textId="77777777" w:rsidR="009D7C1F" w:rsidRDefault="00000000">
      <w:pPr>
        <w:spacing w:before="240" w:after="240"/>
        <w:jc w:val="both"/>
        <w:rPr>
          <w:rFonts w:ascii="Arial" w:eastAsia="Arial" w:hAnsi="Arial" w:cs="Arial"/>
        </w:rPr>
      </w:pPr>
      <w:r>
        <w:rPr>
          <w:rFonts w:ascii="Arial" w:eastAsia="Arial" w:hAnsi="Arial" w:cs="Arial"/>
        </w:rPr>
        <w:t>El indicador de riesgo para el año 2025 (2.7%) es el más bajo de la última década. Esta cifra se traduce en que la ciudad operó bajo parámetros de cumplimiento normativo el 97.3% del tiempo. La reducción drástica frente a años críticos como 2019 refleja la efectividad de las medidas de control de emisiones y una meteorología favorable que facilitó la dispersión de contaminantes.</w:t>
      </w:r>
    </w:p>
    <w:p w14:paraId="000001B0" w14:textId="77777777" w:rsidR="009D7C1F" w:rsidRDefault="009D7C1F">
      <w:pPr>
        <w:jc w:val="both"/>
        <w:rPr>
          <w:rFonts w:ascii="Arial" w:eastAsia="Arial" w:hAnsi="Arial" w:cs="Arial"/>
        </w:rPr>
      </w:pPr>
    </w:p>
    <w:p w14:paraId="000001B1" w14:textId="77777777" w:rsidR="009D7C1F" w:rsidRDefault="00000000">
      <w:pPr>
        <w:numPr>
          <w:ilvl w:val="0"/>
          <w:numId w:val="6"/>
        </w:numPr>
        <w:jc w:val="both"/>
        <w:rPr>
          <w:rFonts w:ascii="Arial" w:eastAsia="Arial" w:hAnsi="Arial" w:cs="Arial"/>
        </w:rPr>
      </w:pPr>
      <w:r>
        <w:rPr>
          <w:rFonts w:ascii="Arial" w:eastAsia="Arial" w:hAnsi="Arial" w:cs="Arial"/>
        </w:rPr>
        <w:t xml:space="preserve">Identifique las zonas con mayor recurrencia de alertas. </w:t>
      </w:r>
    </w:p>
    <w:p w14:paraId="000001B2" w14:textId="77777777" w:rsidR="009D7C1F" w:rsidRDefault="009D7C1F">
      <w:pPr>
        <w:ind w:left="720"/>
        <w:jc w:val="both"/>
        <w:rPr>
          <w:rFonts w:ascii="Arial" w:eastAsia="Arial" w:hAnsi="Arial" w:cs="Arial"/>
        </w:rPr>
      </w:pPr>
    </w:p>
    <w:p w14:paraId="000001B3" w14:textId="77777777" w:rsidR="009D7C1F" w:rsidRDefault="00000000">
      <w:pPr>
        <w:numPr>
          <w:ilvl w:val="0"/>
          <w:numId w:val="2"/>
        </w:numPr>
        <w:spacing w:before="240" w:after="240"/>
        <w:jc w:val="both"/>
        <w:rPr>
          <w:rFonts w:ascii="Arial" w:eastAsia="Arial" w:hAnsi="Arial" w:cs="Arial"/>
        </w:rPr>
      </w:pPr>
      <w:r>
        <w:rPr>
          <w:rFonts w:ascii="Arial" w:eastAsia="Arial" w:hAnsi="Arial" w:cs="Arial"/>
        </w:rPr>
        <w:t>Zona de Alta Recurrencia (Suroccidente)</w:t>
      </w:r>
    </w:p>
    <w:p w14:paraId="000001B4" w14:textId="77777777" w:rsidR="009D7C1F" w:rsidRDefault="00000000">
      <w:pPr>
        <w:spacing w:before="240" w:after="240"/>
        <w:jc w:val="both"/>
        <w:rPr>
          <w:rFonts w:ascii="Arial" w:eastAsia="Arial" w:hAnsi="Arial" w:cs="Arial"/>
        </w:rPr>
      </w:pPr>
      <w:r>
        <w:rPr>
          <w:rFonts w:ascii="Arial" w:eastAsia="Arial" w:hAnsi="Arial" w:cs="Arial"/>
        </w:rPr>
        <w:t>Es el área que aporta la mayor cantidad de días al % de Riesgo Anual de la ciudad.</w:t>
      </w:r>
    </w:p>
    <w:p w14:paraId="000001B5" w14:textId="77777777" w:rsidR="009D7C1F" w:rsidRDefault="00000000">
      <w:pPr>
        <w:numPr>
          <w:ilvl w:val="0"/>
          <w:numId w:val="13"/>
        </w:numPr>
        <w:spacing w:before="240"/>
        <w:rPr>
          <w:rFonts w:ascii="Arial" w:eastAsia="Arial" w:hAnsi="Arial" w:cs="Arial"/>
        </w:rPr>
      </w:pPr>
      <w:r>
        <w:rPr>
          <w:rFonts w:ascii="Arial" w:eastAsia="Arial" w:hAnsi="Arial" w:cs="Arial"/>
        </w:rPr>
        <w:t>Estaciones Críticas: Carvajal - Sevillana y Kennedy.</w:t>
      </w:r>
    </w:p>
    <w:p w14:paraId="000001B6" w14:textId="77777777" w:rsidR="009D7C1F" w:rsidRDefault="00000000">
      <w:pPr>
        <w:numPr>
          <w:ilvl w:val="0"/>
          <w:numId w:val="13"/>
        </w:numPr>
        <w:rPr>
          <w:rFonts w:ascii="Arial" w:eastAsia="Arial" w:hAnsi="Arial" w:cs="Arial"/>
        </w:rPr>
      </w:pPr>
      <w:r>
        <w:rPr>
          <w:rFonts w:ascii="Arial" w:eastAsia="Arial" w:hAnsi="Arial" w:cs="Arial"/>
        </w:rPr>
        <w:t>Factores de Riesgo: Concentración de industria pesada, alto flujo de transporte de carga (diésel) por la Autopista Sur y la Avenida Boyacá, y condiciones topográficas que dificultan la dispersión de contaminantes.</w:t>
      </w:r>
    </w:p>
    <w:p w14:paraId="000001B7" w14:textId="77777777" w:rsidR="009D7C1F" w:rsidRDefault="00000000">
      <w:pPr>
        <w:numPr>
          <w:ilvl w:val="0"/>
          <w:numId w:val="13"/>
        </w:numPr>
        <w:rPr>
          <w:rFonts w:ascii="Arial" w:eastAsia="Arial" w:hAnsi="Arial" w:cs="Arial"/>
        </w:rPr>
      </w:pPr>
      <w:r>
        <w:rPr>
          <w:rFonts w:ascii="Arial" w:eastAsia="Arial" w:hAnsi="Arial" w:cs="Arial"/>
        </w:rPr>
        <w:t>Dato Histórico: En años como 2019 y 2023, estas estaciones representaron más del 70% de las excedencias totales de la red.</w:t>
      </w:r>
    </w:p>
    <w:p w14:paraId="000001B8" w14:textId="77777777" w:rsidR="009D7C1F" w:rsidRDefault="00000000">
      <w:pPr>
        <w:numPr>
          <w:ilvl w:val="0"/>
          <w:numId w:val="2"/>
        </w:numPr>
        <w:spacing w:after="240"/>
        <w:jc w:val="both"/>
        <w:rPr>
          <w:rFonts w:ascii="Arial" w:eastAsia="Arial" w:hAnsi="Arial" w:cs="Arial"/>
        </w:rPr>
      </w:pPr>
      <w:r>
        <w:rPr>
          <w:rFonts w:ascii="Arial" w:eastAsia="Arial" w:hAnsi="Arial" w:cs="Arial"/>
        </w:rPr>
        <w:t xml:space="preserve"> Zona de Recurrencia Moderada (Occidente / Eje Industrial)</w:t>
      </w:r>
    </w:p>
    <w:p w14:paraId="000001B9" w14:textId="77777777" w:rsidR="009D7C1F" w:rsidRDefault="00000000">
      <w:pPr>
        <w:spacing w:before="240" w:after="240"/>
        <w:jc w:val="both"/>
        <w:rPr>
          <w:rFonts w:ascii="Arial" w:eastAsia="Arial" w:hAnsi="Arial" w:cs="Arial"/>
        </w:rPr>
      </w:pPr>
      <w:r>
        <w:rPr>
          <w:rFonts w:ascii="Arial" w:eastAsia="Arial" w:hAnsi="Arial" w:cs="Arial"/>
        </w:rPr>
        <w:t>Presenta picos estacionales, especialmente durante los primeros meses del año.</w:t>
      </w:r>
    </w:p>
    <w:p w14:paraId="000001BA" w14:textId="77777777" w:rsidR="009D7C1F" w:rsidRDefault="00000000">
      <w:pPr>
        <w:numPr>
          <w:ilvl w:val="0"/>
          <w:numId w:val="12"/>
        </w:numPr>
        <w:spacing w:before="240"/>
        <w:rPr>
          <w:rFonts w:ascii="Arial" w:eastAsia="Arial" w:hAnsi="Arial" w:cs="Arial"/>
        </w:rPr>
      </w:pPr>
      <w:r>
        <w:rPr>
          <w:rFonts w:ascii="Arial" w:eastAsia="Arial" w:hAnsi="Arial" w:cs="Arial"/>
        </w:rPr>
        <w:t>Estaciones Críticas: Fontibón y Puente Aranda.</w:t>
      </w:r>
    </w:p>
    <w:p w14:paraId="000001BB" w14:textId="77777777" w:rsidR="009D7C1F" w:rsidRDefault="00000000">
      <w:pPr>
        <w:numPr>
          <w:ilvl w:val="0"/>
          <w:numId w:val="12"/>
        </w:numPr>
        <w:rPr>
          <w:rFonts w:ascii="Arial" w:eastAsia="Arial" w:hAnsi="Arial" w:cs="Arial"/>
        </w:rPr>
      </w:pPr>
      <w:r>
        <w:rPr>
          <w:rFonts w:ascii="Arial" w:eastAsia="Arial" w:hAnsi="Arial" w:cs="Arial"/>
        </w:rPr>
        <w:t>Factores de Riesgo: Influencia de la zona industrial y las operaciones logísticas cercanas al Aeropuerto El Dorado. En 2025, la estación Móvil Fontibón registró 3 de los 10 días de excedencia reportados en la ciudad.</w:t>
      </w:r>
    </w:p>
    <w:p w14:paraId="000001BC" w14:textId="77777777" w:rsidR="009D7C1F" w:rsidRDefault="00000000">
      <w:pPr>
        <w:numPr>
          <w:ilvl w:val="0"/>
          <w:numId w:val="2"/>
        </w:numPr>
        <w:spacing w:after="240"/>
        <w:jc w:val="both"/>
        <w:rPr>
          <w:rFonts w:ascii="Arial" w:eastAsia="Arial" w:hAnsi="Arial" w:cs="Arial"/>
        </w:rPr>
      </w:pPr>
      <w:r>
        <w:rPr>
          <w:rFonts w:ascii="Arial" w:eastAsia="Arial" w:hAnsi="Arial" w:cs="Arial"/>
        </w:rPr>
        <w:t xml:space="preserve">  Zona de Baja Recurrencia (Norte y Oriente)</w:t>
      </w:r>
    </w:p>
    <w:p w14:paraId="000001BD" w14:textId="77777777" w:rsidR="009D7C1F" w:rsidRDefault="00000000">
      <w:pPr>
        <w:spacing w:before="240" w:after="240"/>
        <w:jc w:val="both"/>
        <w:rPr>
          <w:rFonts w:ascii="Arial" w:eastAsia="Arial" w:hAnsi="Arial" w:cs="Arial"/>
        </w:rPr>
      </w:pPr>
      <w:r>
        <w:rPr>
          <w:rFonts w:ascii="Arial" w:eastAsia="Arial" w:hAnsi="Arial" w:cs="Arial"/>
        </w:rPr>
        <w:t>Áreas donde la calidad del aire suele mantenerse en niveles "Favorables" o "Moderados" según el IBOCA.</w:t>
      </w:r>
    </w:p>
    <w:p w14:paraId="000001BE" w14:textId="77777777" w:rsidR="009D7C1F" w:rsidRDefault="00000000">
      <w:pPr>
        <w:numPr>
          <w:ilvl w:val="0"/>
          <w:numId w:val="1"/>
        </w:numPr>
        <w:spacing w:before="240"/>
        <w:rPr>
          <w:rFonts w:ascii="Arial" w:eastAsia="Arial" w:hAnsi="Arial" w:cs="Arial"/>
        </w:rPr>
      </w:pPr>
      <w:r>
        <w:rPr>
          <w:rFonts w:ascii="Arial" w:eastAsia="Arial" w:hAnsi="Arial" w:cs="Arial"/>
        </w:rPr>
        <w:t>Estaciones: Usaquén, Guaymaral y San Cristóbal.</w:t>
      </w:r>
    </w:p>
    <w:p w14:paraId="000001BF" w14:textId="77777777" w:rsidR="009D7C1F" w:rsidRDefault="00000000">
      <w:pPr>
        <w:numPr>
          <w:ilvl w:val="0"/>
          <w:numId w:val="1"/>
        </w:numPr>
        <w:spacing w:after="240"/>
        <w:rPr>
          <w:rFonts w:ascii="Arial" w:eastAsia="Arial" w:hAnsi="Arial" w:cs="Arial"/>
        </w:rPr>
      </w:pPr>
      <w:r>
        <w:rPr>
          <w:rFonts w:ascii="Arial" w:eastAsia="Arial" w:hAnsi="Arial" w:cs="Arial"/>
        </w:rPr>
        <w:t>Comportamiento: Rara vez registran alertas propias. Cuando se activan alertas en estas zonas, suele ser por fenómenos regionales (incendios forestales masivos) y no por fuentes de emisión locales.</w:t>
      </w:r>
    </w:p>
    <w:p w14:paraId="000001C0" w14:textId="77777777" w:rsidR="009D7C1F" w:rsidRDefault="009D7C1F">
      <w:pPr>
        <w:spacing w:before="240" w:after="240"/>
        <w:rPr>
          <w:rFonts w:ascii="Arial" w:eastAsia="Arial" w:hAnsi="Arial" w:cs="Arial"/>
        </w:rPr>
      </w:pPr>
    </w:p>
    <w:p w14:paraId="000001C1" w14:textId="77777777" w:rsidR="009D7C1F" w:rsidRDefault="009D7C1F">
      <w:pPr>
        <w:spacing w:before="240" w:after="240"/>
        <w:rPr>
          <w:rFonts w:ascii="Arial" w:eastAsia="Arial" w:hAnsi="Arial" w:cs="Arial"/>
        </w:rPr>
      </w:pPr>
    </w:p>
    <w:p w14:paraId="000001C2" w14:textId="77777777" w:rsidR="009D7C1F" w:rsidRDefault="009D7C1F">
      <w:pPr>
        <w:jc w:val="both"/>
        <w:rPr>
          <w:rFonts w:ascii="Arial" w:eastAsia="Arial" w:hAnsi="Arial" w:cs="Arial"/>
        </w:rPr>
      </w:pPr>
    </w:p>
    <w:p w14:paraId="000001C3" w14:textId="77777777" w:rsidR="009D7C1F" w:rsidRDefault="00000000">
      <w:pPr>
        <w:numPr>
          <w:ilvl w:val="0"/>
          <w:numId w:val="6"/>
        </w:numPr>
        <w:jc w:val="both"/>
        <w:rPr>
          <w:rFonts w:ascii="Arial" w:eastAsia="Arial" w:hAnsi="Arial" w:cs="Arial"/>
        </w:rPr>
      </w:pPr>
      <w:r>
        <w:rPr>
          <w:rFonts w:ascii="Arial" w:eastAsia="Arial" w:hAnsi="Arial" w:cs="Arial"/>
        </w:rPr>
        <w:t>Relacione el indicador con fuentes de emisión y condiciones meteorológicas.</w:t>
      </w:r>
    </w:p>
    <w:p w14:paraId="000001C4" w14:textId="77777777" w:rsidR="009D7C1F" w:rsidRDefault="009D7C1F">
      <w:pPr>
        <w:ind w:left="720"/>
        <w:jc w:val="both"/>
        <w:rPr>
          <w:rFonts w:ascii="Arial" w:eastAsia="Arial" w:hAnsi="Arial" w:cs="Arial"/>
        </w:rPr>
      </w:pPr>
    </w:p>
    <w:p w14:paraId="000001C5" w14:textId="77777777" w:rsidR="009D7C1F" w:rsidRDefault="00000000">
      <w:pPr>
        <w:spacing w:before="240" w:after="240"/>
        <w:jc w:val="both"/>
        <w:rPr>
          <w:rFonts w:ascii="Arial" w:eastAsia="Arial" w:hAnsi="Arial" w:cs="Arial"/>
          <w:sz w:val="22"/>
          <w:szCs w:val="22"/>
        </w:rPr>
      </w:pPr>
      <w:r>
        <w:rPr>
          <w:rFonts w:ascii="Arial" w:eastAsia="Arial" w:hAnsi="Arial" w:cs="Arial"/>
          <w:sz w:val="22"/>
          <w:szCs w:val="22"/>
        </w:rPr>
        <w:t xml:space="preserve">El indicador de </w:t>
      </w:r>
      <w:r>
        <w:rPr>
          <w:rFonts w:ascii="Arial" w:eastAsia="Arial" w:hAnsi="Arial" w:cs="Arial"/>
          <w:b/>
          <w:bCs/>
          <w:sz w:val="22"/>
          <w:szCs w:val="22"/>
        </w:rPr>
        <w:t>% Riesgo Anual</w:t>
      </w:r>
      <w:r>
        <w:rPr>
          <w:rFonts w:ascii="Arial" w:eastAsia="Arial" w:hAnsi="Arial" w:cs="Arial"/>
          <w:sz w:val="22"/>
          <w:szCs w:val="22"/>
        </w:rPr>
        <w:t xml:space="preserve"> no depende únicamente de la actividad humana; es el resultado de la interacción entre las emisiones contaminantes y la capacidad de la atmósfera para dispersarlas.</w:t>
      </w:r>
    </w:p>
    <w:p w14:paraId="000001C6" w14:textId="77777777" w:rsidR="009D7C1F" w:rsidRDefault="00000000">
      <w:pPr>
        <w:spacing w:before="240" w:after="240"/>
        <w:jc w:val="both"/>
        <w:rPr>
          <w:rFonts w:ascii="Arial" w:eastAsia="Arial" w:hAnsi="Arial" w:cs="Arial"/>
          <w:b/>
          <w:bCs/>
          <w:sz w:val="22"/>
          <w:szCs w:val="22"/>
        </w:rPr>
      </w:pPr>
      <w:r>
        <w:rPr>
          <w:rFonts w:ascii="Arial" w:eastAsia="Arial" w:hAnsi="Arial" w:cs="Arial"/>
          <w:b/>
          <w:bCs/>
          <w:sz w:val="22"/>
          <w:szCs w:val="22"/>
        </w:rPr>
        <w:t>1. Fuentes de Emisión</w:t>
      </w:r>
    </w:p>
    <w:p w14:paraId="000001C7" w14:textId="77777777" w:rsidR="009D7C1F" w:rsidRDefault="00000000">
      <w:pPr>
        <w:spacing w:before="240" w:after="240"/>
        <w:jc w:val="both"/>
        <w:rPr>
          <w:rFonts w:ascii="Arial" w:eastAsia="Arial" w:hAnsi="Arial" w:cs="Arial"/>
          <w:sz w:val="22"/>
          <w:szCs w:val="22"/>
        </w:rPr>
      </w:pPr>
      <w:r>
        <w:rPr>
          <w:rFonts w:ascii="Arial" w:eastAsia="Arial" w:hAnsi="Arial" w:cs="Arial"/>
          <w:sz w:val="22"/>
          <w:szCs w:val="22"/>
        </w:rPr>
        <w:t>Las excedencias registradas en la serie histórica (2016-2025) están vinculadas a tres fuentes principales:</w:t>
      </w:r>
    </w:p>
    <w:p w14:paraId="000001C8" w14:textId="77777777" w:rsidR="009D7C1F" w:rsidRDefault="00000000">
      <w:pPr>
        <w:numPr>
          <w:ilvl w:val="0"/>
          <w:numId w:val="3"/>
        </w:numPr>
        <w:spacing w:before="240"/>
        <w:rPr>
          <w:rFonts w:ascii="Arial" w:eastAsia="Arial" w:hAnsi="Arial" w:cs="Arial"/>
        </w:rPr>
      </w:pPr>
      <w:r>
        <w:rPr>
          <w:rFonts w:ascii="Arial" w:eastAsia="Arial" w:hAnsi="Arial" w:cs="Arial"/>
          <w:sz w:val="22"/>
          <w:szCs w:val="22"/>
        </w:rPr>
        <w:t>Fuentes Móviles (Transporte): El mayor aporte al PM2.5 proviene del transporte de carga y pasajeros que utiliza diésel. Esto explica por qué las zonas de Carvajal-Sevillana y Kennedy (confluencia de la Autopista Sur y Av. Boyacá) presentan la mayor recurrencia de alertas.</w:t>
      </w:r>
    </w:p>
    <w:p w14:paraId="000001C9" w14:textId="77777777" w:rsidR="009D7C1F" w:rsidRDefault="00000000">
      <w:pPr>
        <w:numPr>
          <w:ilvl w:val="0"/>
          <w:numId w:val="3"/>
        </w:numPr>
        <w:rPr>
          <w:rFonts w:ascii="Arial" w:eastAsia="Arial" w:hAnsi="Arial" w:cs="Arial"/>
        </w:rPr>
      </w:pPr>
      <w:r>
        <w:rPr>
          <w:rFonts w:ascii="Arial" w:eastAsia="Arial" w:hAnsi="Arial" w:cs="Arial"/>
          <w:sz w:val="22"/>
          <w:szCs w:val="22"/>
        </w:rPr>
        <w:t>Fuentes Fijas (Industria): Las zonas industriales de Puente Aranda y Fontibón aportan emisiones constantes por procesos de combustión en calderas y hornos.</w:t>
      </w:r>
    </w:p>
    <w:p w14:paraId="000001CA" w14:textId="77777777" w:rsidR="009D7C1F" w:rsidRDefault="00000000">
      <w:pPr>
        <w:numPr>
          <w:ilvl w:val="0"/>
          <w:numId w:val="3"/>
        </w:numPr>
        <w:spacing w:after="240"/>
        <w:rPr>
          <w:rFonts w:ascii="Arial" w:eastAsia="Arial" w:hAnsi="Arial" w:cs="Arial"/>
        </w:rPr>
      </w:pPr>
      <w:r>
        <w:rPr>
          <w:rFonts w:ascii="Arial" w:eastAsia="Arial" w:hAnsi="Arial" w:cs="Arial"/>
          <w:sz w:val="22"/>
          <w:szCs w:val="22"/>
        </w:rPr>
        <w:t>Fuentes Externas (Incendios y Polvo): Los picos atípicos (como el 18.6% de riesgo en 2019) se debieron a incendios forestales regionales y el transporte de polvo del Sahara, que elevan los niveles de material particulado de forma masiva en toda la ciudad.</w:t>
      </w:r>
    </w:p>
    <w:p w14:paraId="000001CB" w14:textId="77777777" w:rsidR="009D7C1F" w:rsidRDefault="00000000">
      <w:pPr>
        <w:spacing w:before="240" w:after="240"/>
        <w:jc w:val="both"/>
        <w:rPr>
          <w:rFonts w:ascii="Arial" w:eastAsia="Arial" w:hAnsi="Arial" w:cs="Arial"/>
          <w:sz w:val="22"/>
          <w:szCs w:val="22"/>
        </w:rPr>
      </w:pPr>
      <w:r>
        <w:rPr>
          <w:rFonts w:ascii="Arial" w:eastAsia="Arial" w:hAnsi="Arial" w:cs="Arial"/>
          <w:sz w:val="22"/>
          <w:szCs w:val="22"/>
        </w:rPr>
        <w:t xml:space="preserve"> </w:t>
      </w:r>
    </w:p>
    <w:p w14:paraId="000001CC" w14:textId="77777777" w:rsidR="009D7C1F" w:rsidRDefault="00000000">
      <w:pPr>
        <w:spacing w:before="240" w:after="240"/>
        <w:jc w:val="both"/>
        <w:rPr>
          <w:rFonts w:ascii="Arial" w:eastAsia="Arial" w:hAnsi="Arial" w:cs="Arial"/>
          <w:b/>
          <w:bCs/>
          <w:sz w:val="22"/>
          <w:szCs w:val="22"/>
        </w:rPr>
      </w:pPr>
      <w:r>
        <w:rPr>
          <w:rFonts w:ascii="Arial" w:eastAsia="Arial" w:hAnsi="Arial" w:cs="Arial"/>
          <w:b/>
          <w:bCs/>
          <w:sz w:val="22"/>
          <w:szCs w:val="22"/>
        </w:rPr>
        <w:t>2. Condiciones Meteorológicas</w:t>
      </w:r>
    </w:p>
    <w:p w14:paraId="000001CD" w14:textId="77777777" w:rsidR="009D7C1F" w:rsidRDefault="00000000">
      <w:pPr>
        <w:spacing w:before="240" w:after="240"/>
        <w:jc w:val="both"/>
        <w:rPr>
          <w:rFonts w:ascii="Arial" w:eastAsia="Arial" w:hAnsi="Arial" w:cs="Arial"/>
          <w:sz w:val="22"/>
          <w:szCs w:val="22"/>
        </w:rPr>
      </w:pPr>
      <w:r>
        <w:rPr>
          <w:rFonts w:ascii="Arial" w:eastAsia="Arial" w:hAnsi="Arial" w:cs="Arial"/>
          <w:sz w:val="22"/>
          <w:szCs w:val="22"/>
        </w:rPr>
        <w:t xml:space="preserve">La meteorología es el factor que determina si una emisión se convierte en una </w:t>
      </w:r>
      <w:r>
        <w:rPr>
          <w:rFonts w:ascii="Arial" w:eastAsia="Arial" w:hAnsi="Arial" w:cs="Arial"/>
          <w:b/>
          <w:bCs/>
          <w:sz w:val="22"/>
          <w:szCs w:val="22"/>
        </w:rPr>
        <w:t>alerta</w:t>
      </w:r>
      <w:r>
        <w:rPr>
          <w:rFonts w:ascii="Arial" w:eastAsia="Arial" w:hAnsi="Arial" w:cs="Arial"/>
          <w:sz w:val="22"/>
          <w:szCs w:val="22"/>
        </w:rPr>
        <w:t>:</w:t>
      </w:r>
    </w:p>
    <w:p w14:paraId="000001CE" w14:textId="77777777" w:rsidR="009D7C1F" w:rsidRDefault="00000000">
      <w:pPr>
        <w:numPr>
          <w:ilvl w:val="0"/>
          <w:numId w:val="11"/>
        </w:numPr>
        <w:spacing w:before="240"/>
        <w:rPr>
          <w:rFonts w:ascii="Arial" w:eastAsia="Arial" w:hAnsi="Arial" w:cs="Arial"/>
        </w:rPr>
      </w:pPr>
      <w:r>
        <w:rPr>
          <w:rFonts w:ascii="Arial" w:eastAsia="Arial" w:hAnsi="Arial" w:cs="Arial"/>
          <w:sz w:val="22"/>
          <w:szCs w:val="22"/>
        </w:rPr>
        <w:t>Inversión Térmica: Es el fenómeno crítico en Bogotá. En las mañanas frías, una capa de aire caliente "atrapa" los contaminantes cerca del suelo. Si no hay viento, la concentración de PM2.5 sube rápidamente, disparando el IBOCA.</w:t>
      </w:r>
    </w:p>
    <w:p w14:paraId="000001CF" w14:textId="77777777" w:rsidR="009D7C1F" w:rsidRDefault="00000000">
      <w:pPr>
        <w:numPr>
          <w:ilvl w:val="0"/>
          <w:numId w:val="11"/>
        </w:numPr>
        <w:rPr>
          <w:rFonts w:ascii="Arial" w:eastAsia="Arial" w:hAnsi="Arial" w:cs="Arial"/>
        </w:rPr>
      </w:pPr>
      <w:r>
        <w:rPr>
          <w:rFonts w:ascii="Arial" w:eastAsia="Arial" w:hAnsi="Arial" w:cs="Arial"/>
          <w:sz w:val="22"/>
          <w:szCs w:val="22"/>
        </w:rPr>
        <w:t>Régimen de Vientos: Bogotá recibe vientos del oriente (cerros). Las estaciones del suroccidente (Kennedy/Sevillana) reciben toda la contaminación arrastrada desde el resto de la ciudad, lo que las convierte en "sumideros" de material particulado.</w:t>
      </w:r>
    </w:p>
    <w:p w14:paraId="000001D0" w14:textId="77777777" w:rsidR="009D7C1F" w:rsidRDefault="00000000">
      <w:pPr>
        <w:numPr>
          <w:ilvl w:val="0"/>
          <w:numId w:val="11"/>
        </w:numPr>
        <w:spacing w:after="240"/>
        <w:rPr>
          <w:rFonts w:ascii="Arial" w:eastAsia="Arial" w:hAnsi="Arial" w:cs="Arial"/>
        </w:rPr>
      </w:pPr>
      <w:r>
        <w:rPr>
          <w:rFonts w:ascii="Arial" w:eastAsia="Arial" w:hAnsi="Arial" w:cs="Arial"/>
          <w:sz w:val="22"/>
          <w:szCs w:val="22"/>
        </w:rPr>
        <w:t>Precipitación (Lluvia): El bajo riesgo de 2.7% en 2025 se explica, en parte, por un régimen de lluvias bien distribuido que realizó un "lavado atmosférico" (wet deposition), impidiendo que las partículas se suspendieran por largos periodos.</w:t>
      </w:r>
    </w:p>
    <w:p w14:paraId="000001D1" w14:textId="77777777" w:rsidR="009D7C1F" w:rsidRDefault="00000000">
      <w:pPr>
        <w:spacing w:before="240" w:after="240"/>
        <w:jc w:val="both"/>
        <w:rPr>
          <w:rFonts w:ascii="Arial" w:eastAsia="Arial" w:hAnsi="Arial" w:cs="Arial"/>
          <w:sz w:val="22"/>
          <w:szCs w:val="22"/>
        </w:rPr>
      </w:pPr>
      <w:r>
        <w:rPr>
          <w:rFonts w:ascii="Arial" w:eastAsia="Arial" w:hAnsi="Arial" w:cs="Arial"/>
          <w:sz w:val="22"/>
          <w:szCs w:val="22"/>
        </w:rPr>
        <w:t xml:space="preserve"> </w:t>
      </w:r>
    </w:p>
    <w:p w14:paraId="000001D2" w14:textId="77777777" w:rsidR="009D7C1F" w:rsidRDefault="00000000">
      <w:pPr>
        <w:spacing w:before="240" w:after="240"/>
        <w:jc w:val="both"/>
        <w:rPr>
          <w:rFonts w:ascii="Arial" w:eastAsia="Arial" w:hAnsi="Arial" w:cs="Arial"/>
        </w:rPr>
      </w:pPr>
      <w:r>
        <w:rPr>
          <w:rFonts w:ascii="Arial" w:eastAsia="Arial" w:hAnsi="Arial" w:cs="Arial"/>
          <w:sz w:val="22"/>
          <w:szCs w:val="22"/>
        </w:rPr>
        <w:t xml:space="preserve"> </w:t>
      </w:r>
    </w:p>
    <w:p w14:paraId="000001D3" w14:textId="77777777" w:rsidR="009D7C1F" w:rsidRDefault="00000000">
      <w:pPr>
        <w:numPr>
          <w:ilvl w:val="0"/>
          <w:numId w:val="6"/>
        </w:numPr>
        <w:jc w:val="both"/>
        <w:rPr>
          <w:rFonts w:ascii="Arial" w:eastAsia="Arial" w:hAnsi="Arial" w:cs="Arial"/>
        </w:rPr>
      </w:pPr>
      <w:r>
        <w:rPr>
          <w:rFonts w:ascii="Arial" w:eastAsia="Arial" w:hAnsi="Arial" w:cs="Arial"/>
        </w:rPr>
        <w:t>Analice los impactos en la salud pública.</w:t>
      </w:r>
    </w:p>
    <w:p w14:paraId="000001D4" w14:textId="77777777" w:rsidR="009D7C1F" w:rsidRDefault="009D7C1F">
      <w:pPr>
        <w:jc w:val="both"/>
        <w:rPr>
          <w:rFonts w:ascii="Arial" w:eastAsia="Arial" w:hAnsi="Arial" w:cs="Arial"/>
        </w:rPr>
      </w:pPr>
    </w:p>
    <w:p w14:paraId="000001D5" w14:textId="77777777" w:rsidR="009D7C1F" w:rsidRDefault="009D7C1F">
      <w:pPr>
        <w:jc w:val="both"/>
        <w:rPr>
          <w:rFonts w:ascii="Arial" w:eastAsia="Arial" w:hAnsi="Arial" w:cs="Arial"/>
        </w:rPr>
      </w:pPr>
    </w:p>
    <w:p w14:paraId="000001D6" w14:textId="77777777" w:rsidR="009D7C1F" w:rsidRDefault="00000000">
      <w:pPr>
        <w:jc w:val="both"/>
        <w:rPr>
          <w:rFonts w:ascii="Arial" w:eastAsia="Arial" w:hAnsi="Arial" w:cs="Arial"/>
        </w:rPr>
      </w:pPr>
      <w:r>
        <w:rPr>
          <w:rFonts w:ascii="Arial" w:eastAsia="Arial" w:hAnsi="Arial" w:cs="Arial"/>
        </w:rPr>
        <w:t>Los impactos en salud pública se han estudiado principalmente a través de Evaluaciones de Impacto en Salud (EIS) mediante el software de la OMS denominado AirQ+. Este software evalúa los impactos a la salud tanto en el corto, como en el largo plazo, a partir de las concentraciones ambientales de contaminantes como el PM2.5, PM10, NO2, O3 y carbono negro, principalmente. AirQ+ fue construido a partir de las curvas de concentración respuesta obtenidas en los principales estudios internacionales que evaluaban efectos a la salud secundarios a las concentraciones de contaminantes ambientales. Dentro de estos estudios se encontraron estudios de cohorte, de series de tiempo, meta-análisis, entre otros. El software calcula la probabilidad de ocurrencia de un desenlace en salud (principalmente mortalidad) mediante un cambio en la concentración de un contaminante estimando los riesgos relativos de mortalidad calculados a partir de las curvas concentración respuesta. AirQ+ realiza un análisis contrafactual entre las concentraciones detectadas en cada ciudad comparando con las concentraciones sugeridas como guía por la OMS para PM2.5, PM10, NO2, O3. Cada vez que se superen los valores de OMS para cada contaminante de interés se atribuyen unas proporciones de enfermedad o mortalidad secundarias al incremento de estos valores. Las hospitalizaciones y tasas de mortalidad originadas por las concentraciones de PM2.5 son calculadas con base a estudios previos y la relación de incrementos en la mortalidad por muertes naturales (todo tipo de muertes no accidentales no violentas).</w:t>
      </w:r>
    </w:p>
    <w:p w14:paraId="000001D7" w14:textId="77777777" w:rsidR="009D7C1F" w:rsidRDefault="009D7C1F">
      <w:pPr>
        <w:jc w:val="both"/>
        <w:rPr>
          <w:rFonts w:ascii="Arial" w:eastAsia="Arial" w:hAnsi="Arial" w:cs="Arial"/>
        </w:rPr>
      </w:pPr>
    </w:p>
    <w:p w14:paraId="000001D8" w14:textId="77777777" w:rsidR="009D7C1F" w:rsidRDefault="00000000">
      <w:pPr>
        <w:jc w:val="both"/>
        <w:rPr>
          <w:rFonts w:ascii="Arial" w:eastAsia="Arial" w:hAnsi="Arial" w:cs="Arial"/>
        </w:rPr>
      </w:pPr>
      <w:r>
        <w:rPr>
          <w:rFonts w:ascii="Arial" w:eastAsia="Arial" w:hAnsi="Arial" w:cs="Arial"/>
        </w:rPr>
        <w:t xml:space="preserve">Con base en la anterior premisa, la Secretaría Distrital de Salud (SDS) en conjunto con la Secretaría Distrital de Ambiente (SDA) realizaron una  EIS en la ciudad entre los años 2018 y 2022, la cual puede ser consultada en el siguiente enlace: </w:t>
      </w:r>
      <w:hyperlink r:id="rId26">
        <w:r>
          <w:rPr>
            <w:rFonts w:ascii="Arial" w:eastAsia="Arial" w:hAnsi="Arial" w:cs="Arial"/>
            <w:color w:val="1155CC"/>
            <w:u w:val="single"/>
          </w:rPr>
          <w:t>https://saludata.saludcapital.gov.co/osb/evaluacion-impacto-salud-bogota-2018-2022/</w:t>
        </w:r>
      </w:hyperlink>
    </w:p>
    <w:p w14:paraId="000001D9" w14:textId="77777777" w:rsidR="009D7C1F" w:rsidRDefault="009D7C1F">
      <w:pPr>
        <w:jc w:val="both"/>
        <w:rPr>
          <w:rFonts w:ascii="Arial" w:eastAsia="Arial" w:hAnsi="Arial" w:cs="Arial"/>
        </w:rPr>
      </w:pPr>
    </w:p>
    <w:p w14:paraId="000001DA" w14:textId="77777777" w:rsidR="009D7C1F" w:rsidRDefault="00000000">
      <w:pPr>
        <w:jc w:val="both"/>
        <w:rPr>
          <w:rFonts w:ascii="Arial" w:eastAsia="Arial" w:hAnsi="Arial" w:cs="Arial"/>
        </w:rPr>
      </w:pPr>
      <w:r>
        <w:rPr>
          <w:rFonts w:ascii="Arial" w:eastAsia="Arial" w:hAnsi="Arial" w:cs="Arial"/>
        </w:rPr>
        <w:t>Los principales resultados reportados en la EIS son los siguientes: “ De acuerdo con las estimaciones obtenidas, en la ciudad de Bogotá, entre 2018 y 2022 se habrían evitado 13.345 muertes (IC 95 % 10.218-14.860) por todas las causas naturales en personas de 30 años y más, si se hubiera logrado mantener una concentración promedio anual de 5 μm/m3 de PM2,5. Es decir, una tasa promedio de 62,9 muertes por cada 100.000 personas en riesgo en los cinco años de análisis. Se observa que el año 2020 fue el año en que más muertes evitables por todas las causas naturales se produjeron, alcanzando 2.792 muertes (IC 95 % 2.138-3.109), un porcentaje de muertes atribuibles de 9,03 % y una tasa de 65,5 (IC 95 % 50,1-72,9) muertes atribuibles a la exposición a PM2,5 por cada 100.000 personas en riesgo. A nivel de localidades, Tunjuelito, Ciudad Bolívar y Antonio Nariño tuvieron las tasas promedio más altas de mortalidad atribuible a exposición a PM2,5 en causas naturales en mayores de 30 años, con valores promedio de 2018 a 2022 en 111,3, 104,3 y 102,5 por cada 100.000 personas en riesgo, respectivamente. Ciudad Bolívar alcanzó la tasa más alta de todas las localidades en todos los años con un valor de 120,2 por 100.000 (IC95 % 92,8-133,2) en 2021, es decir, 381 (IC 95 % 294-422) muertes naturales en mayores de 30 que se habrían podido evitar de haber alcanzado los niveles de la Guía de Calidad del Aire de la OMS, mientras que Tunjuelito en 2022 tuvo su pico de mortalidad atribuible con 117,7 (IC 95 % 91,5-130,7) muertes atribuibles por cada 100.000 personas en riesgo Chapinero, Suba y Usaquén tuvieron las tasas promedio más bajas en mortalidad por todas las causas en personas de 30 años y más, con valores promedio de 42,1, 43,5 y 45 por cada 100.000 personas en riesgo, respectivamente.</w:t>
      </w:r>
    </w:p>
    <w:p w14:paraId="000001DB" w14:textId="77777777" w:rsidR="009D7C1F" w:rsidRDefault="009D7C1F">
      <w:pPr>
        <w:jc w:val="both"/>
        <w:rPr>
          <w:rFonts w:ascii="Arial" w:eastAsia="Arial" w:hAnsi="Arial" w:cs="Arial"/>
        </w:rPr>
      </w:pPr>
    </w:p>
    <w:p w14:paraId="000001DC" w14:textId="77777777" w:rsidR="009D7C1F" w:rsidRDefault="00000000">
      <w:pPr>
        <w:jc w:val="both"/>
        <w:rPr>
          <w:rFonts w:ascii="Arial" w:eastAsia="Arial" w:hAnsi="Arial" w:cs="Arial"/>
        </w:rPr>
      </w:pPr>
      <w:r>
        <w:rPr>
          <w:rFonts w:ascii="Arial" w:eastAsia="Arial" w:hAnsi="Arial" w:cs="Arial"/>
        </w:rPr>
        <w:t>La Enfermedad Cerebro Vascular en personas de 30 años y más fue la principal causa específica de muertes, con un máximo de 1.426 (IC 95 % 1.189-1.764) muertes atribuibles en 2021, una tasa de 32,5 (IC 95 % 27,1-40,3) muertes por cada 100.000 personas en riesgo en el mismo año, mientras que el porcentaje atribuible más alto se</w:t>
      </w:r>
    </w:p>
    <w:p w14:paraId="000001DD" w14:textId="77777777" w:rsidR="009D7C1F" w:rsidRDefault="00000000">
      <w:pPr>
        <w:jc w:val="both"/>
        <w:rPr>
          <w:rFonts w:ascii="Arial" w:eastAsia="Arial" w:hAnsi="Arial" w:cs="Arial"/>
        </w:rPr>
      </w:pPr>
      <w:r>
        <w:rPr>
          <w:rFonts w:ascii="Arial" w:eastAsia="Arial" w:hAnsi="Arial" w:cs="Arial"/>
        </w:rPr>
        <w:t>alcanzó en 2019, con un 13 %. La Enfermedad Isquémica del Corazón en personas de</w:t>
      </w:r>
    </w:p>
    <w:p w14:paraId="000001DE" w14:textId="77777777" w:rsidR="009D7C1F" w:rsidRDefault="00000000">
      <w:pPr>
        <w:jc w:val="both"/>
        <w:rPr>
          <w:rFonts w:ascii="Arial" w:eastAsia="Arial" w:hAnsi="Arial" w:cs="Arial"/>
        </w:rPr>
      </w:pPr>
      <w:r>
        <w:rPr>
          <w:rFonts w:ascii="Arial" w:eastAsia="Arial" w:hAnsi="Arial" w:cs="Arial"/>
        </w:rPr>
        <w:t>25 años y más también tuvo un impacto importante, alcanzando 751 muertes evitables en 2021 (IC 95 % 492-1.027) y un porcentaje atribuible del 17,9 % (IC 95 % 12,1-24) en el mismo año. Las muertes por Accidente Cerebro Vascular mantuvieron tasas relativamente estables, con una reducción del 16,7 % en el año de inicio de pandemia de COVID-19 en Colombia, 2020 respecto al promedio de los cinco años del análisis, todas las demás causas específicas también tuvieron una reducción de al menos el 10 % en ese año. Las enfermedades respiratorias en adultos de 30 años y más tuvieron un pico de 11,9 (IC 95 % 3,9-19,8) muertes atribuibles por cada 100.000 personas en</w:t>
      </w:r>
    </w:p>
    <w:p w14:paraId="000001DF" w14:textId="77777777" w:rsidR="009D7C1F" w:rsidRDefault="00000000">
      <w:pPr>
        <w:jc w:val="both"/>
        <w:rPr>
          <w:rFonts w:ascii="Arial" w:eastAsia="Arial" w:hAnsi="Arial" w:cs="Arial"/>
        </w:rPr>
      </w:pPr>
      <w:r>
        <w:rPr>
          <w:rFonts w:ascii="Arial" w:eastAsia="Arial" w:hAnsi="Arial" w:cs="Arial"/>
        </w:rPr>
        <w:t>riesgo en 2019, así como el EPOC con una tasa de 6 (IC 95 % 4,4-7,7). El cáncer de pulmón mostró cifras relativamente estables, con porcentajes atribuibles entre el 11 % y el 12,4 % y tasas por 100.000 entre 1,2 y 1,6. En menores de 5 años, las muertes por IRAB tuvieron un impacto menor en términos absolutos, pero con porcentajes atribuibles que alcanzaron el 8,8 % (IC 95 % 5,3-13,3) en 2019. ” (Secretaría Distrital de Salud, 2026: 29,30,32)</w:t>
      </w:r>
      <w:r>
        <w:rPr>
          <w:rFonts w:ascii="Arial" w:eastAsia="Arial" w:hAnsi="Arial" w:cs="Arial"/>
          <w:vertAlign w:val="superscript"/>
        </w:rPr>
        <w:footnoteReference w:id="1"/>
      </w:r>
      <w:r>
        <w:rPr>
          <w:rFonts w:ascii="Arial" w:eastAsia="Arial" w:hAnsi="Arial" w:cs="Arial"/>
        </w:rPr>
        <w:t xml:space="preserve">. </w:t>
      </w:r>
    </w:p>
    <w:p w14:paraId="000001E0" w14:textId="77777777" w:rsidR="009D7C1F" w:rsidRDefault="009D7C1F">
      <w:pPr>
        <w:jc w:val="both"/>
        <w:rPr>
          <w:rFonts w:ascii="Arial" w:eastAsia="Arial" w:hAnsi="Arial" w:cs="Arial"/>
        </w:rPr>
      </w:pPr>
    </w:p>
    <w:p w14:paraId="000001E1" w14:textId="77777777" w:rsidR="009D7C1F" w:rsidRDefault="00000000">
      <w:pPr>
        <w:jc w:val="both"/>
        <w:rPr>
          <w:rFonts w:ascii="Arial" w:eastAsia="Arial" w:hAnsi="Arial" w:cs="Arial"/>
        </w:rPr>
      </w:pPr>
      <w:r>
        <w:rPr>
          <w:rFonts w:ascii="Arial" w:eastAsia="Arial" w:hAnsi="Arial" w:cs="Arial"/>
        </w:rPr>
        <w:t>Para mayor información, se sugiere consultar el enlace presentado previamente.</w:t>
      </w:r>
    </w:p>
    <w:p w14:paraId="000001E2" w14:textId="77777777" w:rsidR="009D7C1F" w:rsidRDefault="009D7C1F">
      <w:pPr>
        <w:jc w:val="both"/>
        <w:rPr>
          <w:rFonts w:ascii="Arial" w:eastAsia="Arial" w:hAnsi="Arial" w:cs="Arial"/>
        </w:rPr>
      </w:pPr>
    </w:p>
    <w:p w14:paraId="000001E3" w14:textId="77777777" w:rsidR="009D7C1F" w:rsidRDefault="009D7C1F">
      <w:pPr>
        <w:jc w:val="both"/>
        <w:rPr>
          <w:rFonts w:ascii="Arial" w:eastAsia="Arial" w:hAnsi="Arial" w:cs="Arial"/>
        </w:rPr>
      </w:pPr>
    </w:p>
    <w:p w14:paraId="000001E4" w14:textId="77777777" w:rsidR="009D7C1F" w:rsidRDefault="00000000">
      <w:pPr>
        <w:numPr>
          <w:ilvl w:val="0"/>
          <w:numId w:val="6"/>
        </w:numPr>
        <w:jc w:val="both"/>
        <w:rPr>
          <w:rFonts w:ascii="Arial" w:eastAsia="Arial" w:hAnsi="Arial" w:cs="Arial"/>
        </w:rPr>
      </w:pPr>
      <w:r>
        <w:rPr>
          <w:rFonts w:ascii="Arial" w:eastAsia="Arial" w:hAnsi="Arial" w:cs="Arial"/>
        </w:rPr>
        <w:t>Señale las medidas distritales de prevención y mitigación.</w:t>
      </w:r>
    </w:p>
    <w:p w14:paraId="000001E5" w14:textId="77777777" w:rsidR="009D7C1F" w:rsidRDefault="009D7C1F">
      <w:pPr>
        <w:jc w:val="both"/>
        <w:rPr>
          <w:rFonts w:ascii="Arial" w:eastAsia="Arial" w:hAnsi="Arial" w:cs="Arial"/>
        </w:rPr>
      </w:pPr>
    </w:p>
    <w:p w14:paraId="000001E6" w14:textId="77777777" w:rsidR="009D7C1F" w:rsidRDefault="00000000">
      <w:pPr>
        <w:jc w:val="both"/>
        <w:rPr>
          <w:rFonts w:ascii="Arial" w:eastAsia="Arial" w:hAnsi="Arial" w:cs="Arial"/>
        </w:rPr>
      </w:pPr>
      <w:r>
        <w:rPr>
          <w:rFonts w:ascii="Arial" w:eastAsia="Arial" w:hAnsi="Arial" w:cs="Arial"/>
        </w:rPr>
        <w:t xml:space="preserve">En cuanto a las medidas de prevención y mitigación es relevante señalar lo siguiente: la SDA de Bogotá junto a la SDS de Bogotá han hecho uso de la red de monitoreo de calidad del aire y del Índice Bogotano de Calidad del Aire y Riesgo en Salud (IBOCA) para comunicar socialmente el riesgo de la calidad del aire favorable, moderada, regular, mala y peligrosa a los ciudadanos y ciudadanas. La comunicación social del riesgo ha tenido como centro divulgar las recomendaciones de salud y de comportamiento que debe tener la población general de acuerdo a cada uno de los niveles de exposición a la calidad del aire. Estas recomendaciones de salud se han divulgado en diferentes espacios como: talleres didácticos en colegios para estudiantes y profesores, talleres académicos junto a universidades, instituciones de salud y trabajadores de la salud,  dentro de las Unidades Centinela que tiene dispuestas el distrito para la vigilancia de eventos en salud por calidad del aire y en diferentes colectividades poblacionales. Estas recomendaciones hacen parte de las estrategias de prevención que tienen tanto la SDA como la SDS para la población general de Bogotá. </w:t>
      </w:r>
    </w:p>
    <w:p w14:paraId="000001E7" w14:textId="77777777" w:rsidR="009D7C1F" w:rsidRDefault="009D7C1F">
      <w:pPr>
        <w:jc w:val="both"/>
        <w:rPr>
          <w:rFonts w:ascii="Arial" w:eastAsia="Arial" w:hAnsi="Arial" w:cs="Arial"/>
        </w:rPr>
      </w:pPr>
    </w:p>
    <w:p w14:paraId="000001E8" w14:textId="77777777" w:rsidR="009D7C1F" w:rsidRDefault="00000000">
      <w:pPr>
        <w:jc w:val="both"/>
        <w:rPr>
          <w:rFonts w:ascii="Arial" w:eastAsia="Arial" w:hAnsi="Arial" w:cs="Arial"/>
        </w:rPr>
      </w:pPr>
      <w:r>
        <w:rPr>
          <w:rFonts w:ascii="Arial" w:eastAsia="Arial" w:hAnsi="Arial" w:cs="Arial"/>
        </w:rPr>
        <w:t xml:space="preserve">Además, en alertas por contaminación del aire la Secretaría Distrital de Salud junto a la Secretaría Distrital de Ambiente realizan comunicados de prensa con las recomendaciones para prevenir problemas en salud por la contaminación del aire, así como la difusión de piezas comunicativas con esta misma información en diferentes plataformas digitales ( X, facebook, instagram y TikTok). </w:t>
      </w:r>
    </w:p>
    <w:p w14:paraId="000001E9" w14:textId="77777777" w:rsidR="009D7C1F" w:rsidRDefault="009D7C1F">
      <w:pPr>
        <w:jc w:val="both"/>
        <w:rPr>
          <w:rFonts w:ascii="Arial" w:eastAsia="Arial" w:hAnsi="Arial" w:cs="Arial"/>
        </w:rPr>
      </w:pPr>
    </w:p>
    <w:p w14:paraId="000001EA" w14:textId="77777777" w:rsidR="009D7C1F" w:rsidRDefault="00000000">
      <w:pPr>
        <w:jc w:val="both"/>
        <w:rPr>
          <w:rFonts w:ascii="Arial" w:eastAsia="Arial" w:hAnsi="Arial" w:cs="Arial"/>
        </w:rPr>
      </w:pPr>
      <w:r>
        <w:rPr>
          <w:rFonts w:ascii="Arial" w:eastAsia="Arial" w:hAnsi="Arial" w:cs="Arial"/>
        </w:rPr>
        <w:t>De manera complementaria, se realiza monitoreo y seguimiento de los casos de Enfermedad Respiratoria Aguda (ERA) en Bogotá y de los eventos respiratorios y cardiovasculares en la estrategia de Vigilancia Centinela para eventos de salud por contaminación del aire realizada en los Hospitales de Kennedy, San Rafael, Meissen y Chapinero. Igualmente, se informa a las Entidades Administradoras de Planes de Beneficios de Salud (EAPB) para que permanezcan alertas ante un posible incremento en las consultas y atenciones por estas causas, y para socializar las recomendaciones emitidas por estas entidades, así como aquellas descritas en la resolución que estableció el IBOCA (Resolución 2840 de 2023).</w:t>
      </w:r>
    </w:p>
    <w:p w14:paraId="000001EB" w14:textId="77777777" w:rsidR="009D7C1F" w:rsidRDefault="009D7C1F">
      <w:pPr>
        <w:jc w:val="both"/>
        <w:rPr>
          <w:rFonts w:ascii="Arial" w:eastAsia="Arial" w:hAnsi="Arial" w:cs="Arial"/>
        </w:rPr>
      </w:pPr>
    </w:p>
    <w:p w14:paraId="000001EC" w14:textId="77777777" w:rsidR="009D7C1F" w:rsidRDefault="00000000">
      <w:pPr>
        <w:jc w:val="both"/>
        <w:rPr>
          <w:rFonts w:ascii="Arial" w:eastAsia="Arial" w:hAnsi="Arial" w:cs="Arial"/>
        </w:rPr>
      </w:pPr>
      <w:r>
        <w:rPr>
          <w:rFonts w:ascii="Arial" w:eastAsia="Arial" w:hAnsi="Arial" w:cs="Arial"/>
        </w:rPr>
        <w:t xml:space="preserve">A su vez, en la declaración de alertas por contaminación atmosférica como las ocurridos durante los primeros meses del año 2024, la SDS  gestionó el desplazamiento de sus equipos de Atención Primaria en Salud del actual programa MAS Bienestar con el que se priorizaron ciertas manzanas afectadas por el impacto de las emisiones de los incendios presentados en los Cerros Orientales para evaluar el estado de salud física y mental de la población perjudicada. </w:t>
      </w:r>
    </w:p>
    <w:p w14:paraId="000001ED" w14:textId="77777777" w:rsidR="009D7C1F" w:rsidRDefault="009D7C1F">
      <w:pPr>
        <w:jc w:val="both"/>
        <w:rPr>
          <w:rFonts w:ascii="Arial" w:eastAsia="Arial" w:hAnsi="Arial" w:cs="Arial"/>
        </w:rPr>
      </w:pPr>
    </w:p>
    <w:p w14:paraId="000001EE" w14:textId="77777777" w:rsidR="009D7C1F" w:rsidRDefault="00000000">
      <w:pPr>
        <w:jc w:val="both"/>
        <w:rPr>
          <w:rFonts w:ascii="Arial" w:eastAsia="Arial" w:hAnsi="Arial" w:cs="Arial"/>
        </w:rPr>
      </w:pPr>
      <w:r>
        <w:rPr>
          <w:rFonts w:ascii="Arial" w:eastAsia="Arial" w:hAnsi="Arial" w:cs="Arial"/>
        </w:rPr>
        <w:t xml:space="preserve">Finalmente, en cuanto a la mitigación es importante señalar que la SDA junto a la SDS y la Secretaría de Movilidad tienen diseñadas las siguientes restricciones para la circulación de vehículos particulares y de transporte y para las industrias que generan emisiones fijas de contaminantes del aire. </w:t>
      </w:r>
    </w:p>
    <w:p w14:paraId="000001EF" w14:textId="77777777" w:rsidR="009D7C1F" w:rsidRDefault="009D7C1F">
      <w:pPr>
        <w:jc w:val="both"/>
        <w:rPr>
          <w:rFonts w:ascii="Arial" w:eastAsia="Arial" w:hAnsi="Arial" w:cs="Arial"/>
        </w:rPr>
      </w:pPr>
    </w:p>
    <w:p w14:paraId="000001F0" w14:textId="77777777" w:rsidR="009D7C1F" w:rsidRDefault="00000000">
      <w:pPr>
        <w:jc w:val="both"/>
        <w:rPr>
          <w:rFonts w:ascii="Arial" w:eastAsia="Arial" w:hAnsi="Arial" w:cs="Arial"/>
        </w:rPr>
      </w:pPr>
      <w:r>
        <w:rPr>
          <w:rFonts w:ascii="Arial" w:eastAsia="Arial" w:hAnsi="Arial" w:cs="Arial"/>
        </w:rPr>
        <w:t>En caso de presentarse una Alerta fase 1</w:t>
      </w:r>
      <w:r>
        <w:rPr>
          <w:rFonts w:ascii="Arial" w:eastAsia="Arial" w:hAnsi="Arial" w:cs="Arial"/>
          <w:vertAlign w:val="superscript"/>
        </w:rPr>
        <w:footnoteReference w:id="2"/>
      </w:r>
      <w:r>
        <w:rPr>
          <w:rFonts w:ascii="Arial" w:eastAsia="Arial" w:hAnsi="Arial" w:cs="Arial"/>
        </w:rPr>
        <w:t xml:space="preserve"> (aquella con un rango regular de calidad del aire entre 100,1 - 150)  los carros particulares y motos de cualquier modelo no podrán operar de lunes a viernes en horario de 6:00 a 19:30, y los sábados, domingos y festivos no operarán de 6:00 a 15:00. Es pertinente señalar que las restricciones a carros particulares irán conformes a la información propuesta en la política de pico y placa. Por otro lado, los vehículos usados para transporte de carga que sean modelos superiores a 10 años no podrán circular de lunes a viernes en horario de 6:00 a 11:00 y de 16:00 a las 22:00; los sábados, domingos y festivos no operarán de 6:00 a 15:00. En el caso de la industria, habrá restricción en la operación a industrias que operen con combustibles sólidos y líquidos.  Se exoneran de la restricción, las fuentes fijas que según la clasificación de las Unidades de Contaminación Atmosférica (UCA) estén en el grado de significancia del aporte contaminante material particulado muy bajo. Para determinar este estado se toma como referencia el estudio de emisiones realizado y realizado ante la SDA 12 meses atrás con corte al mes de septiembre.</w:t>
      </w:r>
    </w:p>
    <w:p w14:paraId="000001F1" w14:textId="77777777" w:rsidR="009D7C1F" w:rsidRDefault="009D7C1F">
      <w:pPr>
        <w:jc w:val="both"/>
        <w:rPr>
          <w:rFonts w:ascii="Arial" w:eastAsia="Arial" w:hAnsi="Arial" w:cs="Arial"/>
        </w:rPr>
      </w:pPr>
    </w:p>
    <w:p w14:paraId="000001F2" w14:textId="77777777" w:rsidR="009D7C1F" w:rsidRDefault="00000000">
      <w:pPr>
        <w:jc w:val="both"/>
        <w:rPr>
          <w:rFonts w:ascii="Arial" w:eastAsia="Arial" w:hAnsi="Arial" w:cs="Arial"/>
        </w:rPr>
      </w:pPr>
      <w:r>
        <w:rPr>
          <w:rFonts w:ascii="Arial" w:eastAsia="Arial" w:hAnsi="Arial" w:cs="Arial"/>
        </w:rPr>
        <w:t xml:space="preserve">En caso de presentarse una Alerta fase 2 (aquella con un rango malo de calidad del aire entre 150,1 - 200 )  los carros particulares y motos de cualquier modelo no podrán operar de lunes a viernes en horario de 6:00 a 21:00, y los sábados, domingos y festivos no operarán de 6:00 a 18:00. Es pertinente señalar que las restricciones a carros particulares irán conformes a la información propuesta en la política de pico y placa. Por otro lado, los vehículos usados para transporte de carga que sean modelos superiores a 5 años no podrán circular de lunes a viernes en horario de 6:00 a 11:00 y de 16:00 a las 22:00; los sábados, domingos y festivos no operarán de 6:00 a 15:00. En el caso de la industria, habrá restricción en la operación a industrias que operen con combustibles sólidos y líquidos.  Restricción de la operación de las fuentes fijas por combustión y/o por proceso que va a demostrar el cumplimiento del parámetro de material particulado de acuerdo con lo establecido en el artículo 6 de la resolución 909 de 2008 o que su proceso sea susceptible general material particulado o históricamente haya sido solicitado por la autoridad ambiental o que cuente con permiso de emisiones atmosféricas. Estas industrias tendrán restricción de lunes a sábado de 6:00 a 18:00. </w:t>
      </w:r>
    </w:p>
    <w:p w14:paraId="000001F3" w14:textId="77777777" w:rsidR="009D7C1F" w:rsidRDefault="009D7C1F">
      <w:pPr>
        <w:jc w:val="both"/>
        <w:rPr>
          <w:rFonts w:ascii="Arial" w:eastAsia="Arial" w:hAnsi="Arial" w:cs="Arial"/>
        </w:rPr>
      </w:pPr>
    </w:p>
    <w:p w14:paraId="000001F4" w14:textId="77777777" w:rsidR="009D7C1F" w:rsidRDefault="00000000">
      <w:pPr>
        <w:jc w:val="both"/>
        <w:rPr>
          <w:rFonts w:ascii="Arial" w:eastAsia="Arial" w:hAnsi="Arial" w:cs="Arial"/>
        </w:rPr>
      </w:pPr>
      <w:r>
        <w:rPr>
          <w:rFonts w:ascii="Arial" w:eastAsia="Arial" w:hAnsi="Arial" w:cs="Arial"/>
        </w:rPr>
        <w:t xml:space="preserve">Y finalmente, en caso de presentarse una emergencia (aquella con un rango muy malo y peligroso de calidad del aire entre  200,1 - 500 )  restringir o prohibir, según el desarrollo del episodio, la circulación de toda fuente móvil o vehículos, excepto aquellos que estén destinados a la evacuación de la población o a la atención de la emergencia. Y restringir o prohibir, de acuerdo con el desarrollo del episodio, el funcionamiento de toda fuente fija de emisión, incluyendo las quemas controladas. </w:t>
      </w:r>
    </w:p>
    <w:p w14:paraId="000001F5" w14:textId="77777777" w:rsidR="009D7C1F" w:rsidRDefault="00000000">
      <w:pPr>
        <w:jc w:val="both"/>
        <w:rPr>
          <w:rFonts w:ascii="Arial" w:eastAsia="Arial" w:hAnsi="Arial" w:cs="Arial"/>
        </w:rPr>
      </w:pPr>
      <w:r>
        <w:rPr>
          <w:rFonts w:ascii="Arial" w:eastAsia="Arial" w:hAnsi="Arial" w:cs="Arial"/>
        </w:rPr>
        <w:t xml:space="preserve">Esta información se puede consultar en el siguiente link: </w:t>
      </w:r>
      <w:hyperlink r:id="rId27">
        <w:r>
          <w:rPr>
            <w:rFonts w:ascii="Arial" w:eastAsia="Arial" w:hAnsi="Arial" w:cs="Arial"/>
            <w:color w:val="1155CC"/>
            <w:u w:val="single"/>
          </w:rPr>
          <w:t>http://iboca.ambientebogota.gov.co/publicaciones/177/plan-de-contingencia/</w:t>
        </w:r>
      </w:hyperlink>
    </w:p>
    <w:p w14:paraId="000001F6" w14:textId="77777777" w:rsidR="009D7C1F" w:rsidRDefault="009D7C1F">
      <w:pPr>
        <w:jc w:val="both"/>
        <w:rPr>
          <w:rFonts w:ascii="Arial" w:eastAsia="Arial" w:hAnsi="Arial" w:cs="Arial"/>
        </w:rPr>
      </w:pPr>
    </w:p>
    <w:p w14:paraId="000001F7" w14:textId="77777777" w:rsidR="009D7C1F" w:rsidRDefault="009D7C1F">
      <w:pPr>
        <w:jc w:val="both"/>
        <w:rPr>
          <w:rFonts w:ascii="Arial" w:eastAsia="Arial" w:hAnsi="Arial" w:cs="Arial"/>
        </w:rPr>
      </w:pPr>
    </w:p>
    <w:p w14:paraId="000001F8" w14:textId="77777777" w:rsidR="009D7C1F" w:rsidRDefault="009D7C1F">
      <w:pPr>
        <w:jc w:val="both"/>
        <w:rPr>
          <w:rFonts w:ascii="Arial" w:eastAsia="Arial" w:hAnsi="Arial" w:cs="Arial"/>
        </w:rPr>
      </w:pPr>
    </w:p>
    <w:p w14:paraId="000001F9" w14:textId="77777777" w:rsidR="009D7C1F" w:rsidRDefault="009D7C1F">
      <w:pPr>
        <w:jc w:val="both"/>
        <w:rPr>
          <w:rFonts w:ascii="Arial" w:eastAsia="Arial" w:hAnsi="Arial" w:cs="Arial"/>
        </w:rPr>
      </w:pPr>
    </w:p>
    <w:p w14:paraId="000001FA" w14:textId="77777777" w:rsidR="009D7C1F" w:rsidRDefault="009D7C1F">
      <w:pPr>
        <w:jc w:val="both"/>
        <w:rPr>
          <w:rFonts w:ascii="Arial" w:eastAsia="Arial" w:hAnsi="Arial" w:cs="Arial"/>
        </w:rPr>
      </w:pPr>
    </w:p>
    <w:p w14:paraId="000001FB" w14:textId="77777777" w:rsidR="009D7C1F" w:rsidRDefault="009D7C1F">
      <w:pPr>
        <w:jc w:val="both"/>
        <w:rPr>
          <w:rFonts w:ascii="Arial" w:eastAsia="Arial" w:hAnsi="Arial" w:cs="Arial"/>
        </w:rPr>
      </w:pPr>
    </w:p>
    <w:p w14:paraId="000001FC" w14:textId="77777777" w:rsidR="009D7C1F" w:rsidRDefault="009D7C1F">
      <w:pPr>
        <w:jc w:val="both"/>
        <w:rPr>
          <w:rFonts w:ascii="Arial" w:eastAsia="Arial" w:hAnsi="Arial" w:cs="Arial"/>
        </w:rPr>
      </w:pPr>
    </w:p>
    <w:p w14:paraId="000001FD" w14:textId="77777777" w:rsidR="009D7C1F" w:rsidRDefault="00000000">
      <w:pPr>
        <w:numPr>
          <w:ilvl w:val="0"/>
          <w:numId w:val="6"/>
        </w:numPr>
        <w:jc w:val="both"/>
        <w:rPr>
          <w:rFonts w:ascii="Arial" w:eastAsia="Arial" w:hAnsi="Arial" w:cs="Arial"/>
        </w:rPr>
      </w:pPr>
      <w:r>
        <w:rPr>
          <w:rFonts w:ascii="Arial" w:eastAsia="Arial" w:hAnsi="Arial" w:cs="Arial"/>
        </w:rPr>
        <w:t>Informe cómo se posiciona el número de días al año en los que se ha activado alerta por mala calidad del aire en Bogotá durante la vigencia del 2016 hasta el 2026, frente al promedio de Sur América, Centro América, Estados Unidos, México, Canadá y Europa.</w:t>
      </w:r>
    </w:p>
    <w:p w14:paraId="000001FE" w14:textId="77777777" w:rsidR="009D7C1F" w:rsidRDefault="009D7C1F">
      <w:pPr>
        <w:jc w:val="both"/>
        <w:rPr>
          <w:rFonts w:ascii="Arial" w:eastAsia="Arial" w:hAnsi="Arial" w:cs="Arial"/>
        </w:rPr>
      </w:pPr>
    </w:p>
    <w:p w14:paraId="000001FF" w14:textId="77777777" w:rsidR="009D7C1F" w:rsidRDefault="009D7C1F">
      <w:pPr>
        <w:jc w:val="both"/>
        <w:rPr>
          <w:rFonts w:ascii="Arial" w:eastAsia="Arial" w:hAnsi="Arial" w:cs="Arial"/>
        </w:rPr>
      </w:pPr>
    </w:p>
    <w:p w14:paraId="00000200" w14:textId="77777777" w:rsidR="009D7C1F" w:rsidRDefault="009D7C1F">
      <w:pPr>
        <w:jc w:val="both"/>
        <w:rPr>
          <w:rFonts w:ascii="Arial" w:eastAsia="Arial" w:hAnsi="Arial" w:cs="Arial"/>
        </w:rPr>
      </w:pPr>
    </w:p>
    <w:p w14:paraId="00000201" w14:textId="77777777" w:rsidR="009D7C1F" w:rsidRDefault="00000000">
      <w:pPr>
        <w:jc w:val="both"/>
        <w:rPr>
          <w:rFonts w:ascii="Arial" w:eastAsia="Arial" w:hAnsi="Arial" w:cs="Arial"/>
        </w:rPr>
      </w:pPr>
      <w:r>
        <w:rPr>
          <w:rFonts w:ascii="Arial" w:eastAsia="Arial" w:hAnsi="Arial" w:cs="Arial"/>
        </w:rPr>
        <w:t>Tabla # Comparación de días con Alerta /Excedencia(2016-2026)</w:t>
      </w:r>
    </w:p>
    <w:tbl>
      <w:tblPr>
        <w:tblStyle w:val="a2"/>
        <w:tblW w:w="7425" w:type="dxa"/>
        <w:tblInd w:w="1" w:type="dxa"/>
        <w:tblBorders>
          <w:top w:val="nil"/>
          <w:left w:val="nil"/>
          <w:bottom w:val="nil"/>
          <w:right w:val="nil"/>
          <w:insideH w:val="nil"/>
          <w:insideV w:val="nil"/>
        </w:tblBorders>
        <w:tblLayout w:type="fixed"/>
        <w:tblLook w:val="0600" w:firstRow="0" w:lastRow="0" w:firstColumn="0" w:lastColumn="0" w:noHBand="1" w:noVBand="1"/>
      </w:tblPr>
      <w:tblGrid>
        <w:gridCol w:w="1800"/>
        <w:gridCol w:w="2310"/>
        <w:gridCol w:w="1650"/>
        <w:gridCol w:w="1665"/>
      </w:tblGrid>
      <w:tr w:rsidR="009D7C1F" w14:paraId="0617327F" w14:textId="77777777">
        <w:trPr>
          <w:trHeight w:val="510"/>
        </w:trPr>
        <w:tc>
          <w:tcPr>
            <w:tcW w:w="180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00000202" w14:textId="77777777" w:rsidR="009D7C1F" w:rsidRDefault="00000000">
            <w:pPr>
              <w:widowControl w:val="0"/>
              <w:spacing w:line="276" w:lineRule="auto"/>
              <w:rPr>
                <w:rFonts w:ascii="Arial" w:eastAsia="Arial" w:hAnsi="Arial" w:cs="Arial"/>
                <w:sz w:val="20"/>
                <w:szCs w:val="20"/>
              </w:rPr>
            </w:pPr>
            <w:r>
              <w:rPr>
                <w:rFonts w:ascii="Arial" w:eastAsia="Arial" w:hAnsi="Arial" w:cs="Arial"/>
                <w:sz w:val="20"/>
                <w:szCs w:val="20"/>
              </w:rPr>
              <w:t>Región / Ciudad</w:t>
            </w:r>
          </w:p>
        </w:tc>
        <w:tc>
          <w:tcPr>
            <w:tcW w:w="2310"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bottom"/>
          </w:tcPr>
          <w:p w14:paraId="00000203" w14:textId="77777777" w:rsidR="009D7C1F" w:rsidRDefault="00000000">
            <w:pPr>
              <w:widowControl w:val="0"/>
              <w:spacing w:line="276" w:lineRule="auto"/>
              <w:rPr>
                <w:rFonts w:ascii="Arial" w:eastAsia="Arial" w:hAnsi="Arial" w:cs="Arial"/>
                <w:sz w:val="20"/>
                <w:szCs w:val="20"/>
              </w:rPr>
            </w:pPr>
            <w:r>
              <w:rPr>
                <w:rFonts w:ascii="Arial" w:eastAsia="Arial" w:hAnsi="Arial" w:cs="Arial"/>
                <w:sz w:val="20"/>
                <w:szCs w:val="20"/>
              </w:rPr>
              <w:t>Promedio Días/Año con Alerta</w:t>
            </w:r>
          </w:p>
        </w:tc>
        <w:tc>
          <w:tcPr>
            <w:tcW w:w="1650"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bottom"/>
          </w:tcPr>
          <w:p w14:paraId="00000204" w14:textId="77777777" w:rsidR="009D7C1F" w:rsidRDefault="00000000">
            <w:pPr>
              <w:widowControl w:val="0"/>
              <w:spacing w:line="276" w:lineRule="auto"/>
              <w:rPr>
                <w:rFonts w:ascii="Arial" w:eastAsia="Arial" w:hAnsi="Arial" w:cs="Arial"/>
                <w:sz w:val="20"/>
                <w:szCs w:val="20"/>
              </w:rPr>
            </w:pPr>
            <w:r>
              <w:rPr>
                <w:rFonts w:ascii="Arial" w:eastAsia="Arial" w:hAnsi="Arial" w:cs="Arial"/>
                <w:sz w:val="20"/>
                <w:szCs w:val="20"/>
              </w:rPr>
              <w:t>Contaminante Crítico</w:t>
            </w:r>
          </w:p>
        </w:tc>
        <w:tc>
          <w:tcPr>
            <w:tcW w:w="1665" w:type="dxa"/>
            <w:tcBorders>
              <w:top w:val="single" w:sz="5" w:space="0" w:color="000000"/>
              <w:left w:val="single" w:sz="5" w:space="0" w:color="CCCCCC"/>
              <w:bottom w:val="single" w:sz="5" w:space="0" w:color="000000"/>
              <w:right w:val="single" w:sz="5" w:space="0" w:color="000000"/>
            </w:tcBorders>
            <w:tcMar>
              <w:top w:w="40" w:type="dxa"/>
              <w:left w:w="0" w:type="dxa"/>
              <w:bottom w:w="40" w:type="dxa"/>
              <w:right w:w="0" w:type="dxa"/>
            </w:tcMar>
            <w:vAlign w:val="bottom"/>
          </w:tcPr>
          <w:p w14:paraId="00000205" w14:textId="77777777" w:rsidR="009D7C1F" w:rsidRDefault="00000000">
            <w:pPr>
              <w:widowControl w:val="0"/>
              <w:spacing w:line="276" w:lineRule="auto"/>
              <w:rPr>
                <w:rFonts w:ascii="Arial" w:eastAsia="Arial" w:hAnsi="Arial" w:cs="Arial"/>
                <w:sz w:val="20"/>
                <w:szCs w:val="20"/>
              </w:rPr>
            </w:pPr>
            <w:r>
              <w:rPr>
                <w:rFonts w:ascii="Arial" w:eastAsia="Arial" w:hAnsi="Arial" w:cs="Arial"/>
                <w:sz w:val="20"/>
                <w:szCs w:val="20"/>
              </w:rPr>
              <w:t>Tendencia 2016-2026</w:t>
            </w:r>
          </w:p>
        </w:tc>
      </w:tr>
      <w:tr w:rsidR="009D7C1F" w14:paraId="42F8DE1F" w14:textId="77777777">
        <w:trPr>
          <w:trHeight w:val="315"/>
        </w:trPr>
        <w:tc>
          <w:tcPr>
            <w:tcW w:w="1800" w:type="dxa"/>
            <w:tcBorders>
              <w:top w:val="single" w:sz="5" w:space="0" w:color="CCCCCC"/>
              <w:left w:val="single" w:sz="5" w:space="0" w:color="000000"/>
              <w:bottom w:val="single" w:sz="5" w:space="0" w:color="000000"/>
              <w:right w:val="single" w:sz="5" w:space="0" w:color="000000"/>
            </w:tcBorders>
            <w:tcMar>
              <w:top w:w="40" w:type="dxa"/>
              <w:left w:w="40" w:type="dxa"/>
              <w:bottom w:w="40" w:type="dxa"/>
              <w:right w:w="40" w:type="dxa"/>
            </w:tcMar>
            <w:vAlign w:val="bottom"/>
          </w:tcPr>
          <w:p w14:paraId="00000206" w14:textId="77777777" w:rsidR="009D7C1F" w:rsidRDefault="00000000">
            <w:pPr>
              <w:widowControl w:val="0"/>
              <w:spacing w:line="276" w:lineRule="auto"/>
              <w:rPr>
                <w:rFonts w:ascii="Arial" w:eastAsia="Arial" w:hAnsi="Arial" w:cs="Arial"/>
                <w:sz w:val="20"/>
                <w:szCs w:val="20"/>
              </w:rPr>
            </w:pPr>
            <w:r>
              <w:rPr>
                <w:rFonts w:ascii="Arial" w:eastAsia="Arial" w:hAnsi="Arial" w:cs="Arial"/>
                <w:sz w:val="20"/>
                <w:szCs w:val="20"/>
              </w:rPr>
              <w:t>Bogotá (Suroccidente)</w:t>
            </w:r>
          </w:p>
        </w:tc>
        <w:tc>
          <w:tcPr>
            <w:tcW w:w="231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00000207" w14:textId="77777777" w:rsidR="009D7C1F" w:rsidRDefault="00000000">
            <w:pPr>
              <w:widowControl w:val="0"/>
              <w:spacing w:line="276" w:lineRule="auto"/>
              <w:rPr>
                <w:rFonts w:ascii="Arial" w:eastAsia="Arial" w:hAnsi="Arial" w:cs="Arial"/>
                <w:sz w:val="20"/>
                <w:szCs w:val="20"/>
              </w:rPr>
            </w:pPr>
            <w:r>
              <w:rPr>
                <w:rFonts w:ascii="Arial" w:eastAsia="Arial" w:hAnsi="Arial" w:cs="Arial"/>
                <w:sz w:val="20"/>
                <w:szCs w:val="20"/>
              </w:rPr>
              <w:t>20 - 25 días</w:t>
            </w:r>
          </w:p>
        </w:tc>
        <w:tc>
          <w:tcPr>
            <w:tcW w:w="165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00000208" w14:textId="77777777" w:rsidR="009D7C1F" w:rsidRDefault="00000000">
            <w:pPr>
              <w:widowControl w:val="0"/>
              <w:spacing w:line="276" w:lineRule="auto"/>
              <w:rPr>
                <w:rFonts w:ascii="Arial" w:eastAsia="Arial" w:hAnsi="Arial" w:cs="Arial"/>
                <w:sz w:val="20"/>
                <w:szCs w:val="20"/>
              </w:rPr>
            </w:pPr>
            <w:r>
              <w:rPr>
                <w:rFonts w:ascii="Arial" w:eastAsia="Arial" w:hAnsi="Arial" w:cs="Arial"/>
                <w:sz w:val="20"/>
                <w:szCs w:val="20"/>
              </w:rPr>
              <w:t>PM2.5​/Incendios</w:t>
            </w:r>
          </w:p>
        </w:tc>
        <w:tc>
          <w:tcPr>
            <w:tcW w:w="1665" w:type="dxa"/>
            <w:tcBorders>
              <w:top w:val="single" w:sz="5" w:space="0" w:color="CCCCCC"/>
              <w:left w:val="single" w:sz="5" w:space="0" w:color="CCCCCC"/>
              <w:bottom w:val="single" w:sz="5" w:space="0" w:color="000000"/>
              <w:right w:val="single" w:sz="5" w:space="0" w:color="000000"/>
            </w:tcBorders>
            <w:tcMar>
              <w:top w:w="40" w:type="dxa"/>
              <w:left w:w="0" w:type="dxa"/>
              <w:bottom w:w="40" w:type="dxa"/>
              <w:right w:w="0" w:type="dxa"/>
            </w:tcMar>
            <w:vAlign w:val="bottom"/>
          </w:tcPr>
          <w:p w14:paraId="00000209" w14:textId="77777777" w:rsidR="009D7C1F" w:rsidRDefault="00000000">
            <w:pPr>
              <w:widowControl w:val="0"/>
              <w:spacing w:line="276" w:lineRule="auto"/>
              <w:rPr>
                <w:rFonts w:ascii="Arial" w:eastAsia="Arial" w:hAnsi="Arial" w:cs="Arial"/>
                <w:sz w:val="20"/>
                <w:szCs w:val="20"/>
              </w:rPr>
            </w:pPr>
            <w:r>
              <w:rPr>
                <w:rFonts w:ascii="Arial" w:eastAsia="Arial" w:hAnsi="Arial" w:cs="Arial"/>
                <w:sz w:val="20"/>
                <w:szCs w:val="20"/>
              </w:rPr>
              <w:t>Descendente (Mejora marcada en 2025-26)</w:t>
            </w:r>
          </w:p>
        </w:tc>
      </w:tr>
      <w:tr w:rsidR="009D7C1F" w14:paraId="606E16A3" w14:textId="77777777">
        <w:trPr>
          <w:trHeight w:val="315"/>
        </w:trPr>
        <w:tc>
          <w:tcPr>
            <w:tcW w:w="1800" w:type="dxa"/>
            <w:tcBorders>
              <w:top w:val="single" w:sz="5" w:space="0" w:color="CCCCCC"/>
              <w:left w:val="single" w:sz="5" w:space="0" w:color="000000"/>
              <w:bottom w:val="single" w:sz="5" w:space="0" w:color="000000"/>
              <w:right w:val="single" w:sz="5" w:space="0" w:color="000000"/>
            </w:tcBorders>
            <w:tcMar>
              <w:top w:w="40" w:type="dxa"/>
              <w:left w:w="40" w:type="dxa"/>
              <w:bottom w:w="40" w:type="dxa"/>
              <w:right w:w="40" w:type="dxa"/>
            </w:tcMar>
            <w:vAlign w:val="bottom"/>
          </w:tcPr>
          <w:p w14:paraId="0000020A" w14:textId="77777777" w:rsidR="009D7C1F" w:rsidRDefault="00000000">
            <w:pPr>
              <w:widowControl w:val="0"/>
              <w:spacing w:line="276" w:lineRule="auto"/>
              <w:rPr>
                <w:rFonts w:ascii="Arial" w:eastAsia="Arial" w:hAnsi="Arial" w:cs="Arial"/>
                <w:sz w:val="20"/>
                <w:szCs w:val="20"/>
              </w:rPr>
            </w:pPr>
            <w:r>
              <w:rPr>
                <w:rFonts w:ascii="Arial" w:eastAsia="Arial" w:hAnsi="Arial" w:cs="Arial"/>
                <w:sz w:val="20"/>
                <w:szCs w:val="20"/>
              </w:rPr>
              <w:t>Suramérica (Promedio)</w:t>
            </w:r>
          </w:p>
        </w:tc>
        <w:tc>
          <w:tcPr>
            <w:tcW w:w="231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0000020B" w14:textId="77777777" w:rsidR="009D7C1F" w:rsidRDefault="00000000">
            <w:pPr>
              <w:widowControl w:val="0"/>
              <w:spacing w:line="276" w:lineRule="auto"/>
              <w:rPr>
                <w:rFonts w:ascii="Arial" w:eastAsia="Arial" w:hAnsi="Arial" w:cs="Arial"/>
                <w:sz w:val="20"/>
                <w:szCs w:val="20"/>
              </w:rPr>
            </w:pPr>
            <w:r>
              <w:rPr>
                <w:rFonts w:ascii="Arial" w:eastAsia="Arial" w:hAnsi="Arial" w:cs="Arial"/>
                <w:sz w:val="20"/>
                <w:szCs w:val="20"/>
              </w:rPr>
              <w:t>40 - 60 días</w:t>
            </w:r>
          </w:p>
        </w:tc>
        <w:tc>
          <w:tcPr>
            <w:tcW w:w="165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0000020C" w14:textId="77777777" w:rsidR="009D7C1F" w:rsidRDefault="00000000">
            <w:pPr>
              <w:widowControl w:val="0"/>
              <w:spacing w:line="276" w:lineRule="auto"/>
              <w:rPr>
                <w:rFonts w:ascii="Arial" w:eastAsia="Arial" w:hAnsi="Arial" w:cs="Arial"/>
                <w:sz w:val="20"/>
                <w:szCs w:val="20"/>
              </w:rPr>
            </w:pPr>
            <w:r>
              <w:rPr>
                <w:rFonts w:ascii="Arial" w:eastAsia="Arial" w:hAnsi="Arial" w:cs="Arial"/>
                <w:sz w:val="20"/>
                <w:szCs w:val="20"/>
              </w:rPr>
              <w:t>PM2.5​ / Quemas</w:t>
            </w:r>
          </w:p>
        </w:tc>
        <w:tc>
          <w:tcPr>
            <w:tcW w:w="1665" w:type="dxa"/>
            <w:tcBorders>
              <w:top w:val="single" w:sz="5" w:space="0" w:color="CCCCCC"/>
              <w:left w:val="single" w:sz="5" w:space="0" w:color="CCCCCC"/>
              <w:bottom w:val="single" w:sz="5" w:space="0" w:color="000000"/>
              <w:right w:val="single" w:sz="5" w:space="0" w:color="000000"/>
            </w:tcBorders>
            <w:tcMar>
              <w:top w:w="40" w:type="dxa"/>
              <w:left w:w="0" w:type="dxa"/>
              <w:bottom w:w="40" w:type="dxa"/>
              <w:right w:w="0" w:type="dxa"/>
            </w:tcMar>
            <w:vAlign w:val="bottom"/>
          </w:tcPr>
          <w:p w14:paraId="0000020D" w14:textId="77777777" w:rsidR="009D7C1F" w:rsidRDefault="00000000">
            <w:pPr>
              <w:widowControl w:val="0"/>
              <w:spacing w:line="276" w:lineRule="auto"/>
              <w:rPr>
                <w:rFonts w:ascii="Arial" w:eastAsia="Arial" w:hAnsi="Arial" w:cs="Arial"/>
                <w:sz w:val="20"/>
                <w:szCs w:val="20"/>
              </w:rPr>
            </w:pPr>
            <w:r>
              <w:rPr>
                <w:rFonts w:ascii="Arial" w:eastAsia="Arial" w:hAnsi="Arial" w:cs="Arial"/>
                <w:sz w:val="20"/>
                <w:szCs w:val="20"/>
              </w:rPr>
              <w:t>Estable (Crítico en Santiago y Medellín)</w:t>
            </w:r>
          </w:p>
        </w:tc>
      </w:tr>
      <w:tr w:rsidR="009D7C1F" w14:paraId="7A676113" w14:textId="77777777">
        <w:trPr>
          <w:trHeight w:val="315"/>
        </w:trPr>
        <w:tc>
          <w:tcPr>
            <w:tcW w:w="1800" w:type="dxa"/>
            <w:tcBorders>
              <w:top w:val="single" w:sz="5" w:space="0" w:color="CCCCCC"/>
              <w:left w:val="single" w:sz="5" w:space="0" w:color="000000"/>
              <w:bottom w:val="single" w:sz="5" w:space="0" w:color="000000"/>
              <w:right w:val="single" w:sz="5" w:space="0" w:color="000000"/>
            </w:tcBorders>
            <w:tcMar>
              <w:top w:w="40" w:type="dxa"/>
              <w:left w:w="40" w:type="dxa"/>
              <w:bottom w:w="40" w:type="dxa"/>
              <w:right w:w="40" w:type="dxa"/>
            </w:tcMar>
            <w:vAlign w:val="bottom"/>
          </w:tcPr>
          <w:p w14:paraId="0000020E" w14:textId="77777777" w:rsidR="009D7C1F" w:rsidRDefault="00000000">
            <w:pPr>
              <w:widowControl w:val="0"/>
              <w:spacing w:line="276" w:lineRule="auto"/>
              <w:rPr>
                <w:rFonts w:ascii="Arial" w:eastAsia="Arial" w:hAnsi="Arial" w:cs="Arial"/>
                <w:sz w:val="20"/>
                <w:szCs w:val="20"/>
              </w:rPr>
            </w:pPr>
            <w:r>
              <w:rPr>
                <w:rFonts w:ascii="Arial" w:eastAsia="Arial" w:hAnsi="Arial" w:cs="Arial"/>
                <w:sz w:val="20"/>
                <w:szCs w:val="20"/>
              </w:rPr>
              <w:t>México (CDMX)</w:t>
            </w:r>
          </w:p>
        </w:tc>
        <w:tc>
          <w:tcPr>
            <w:tcW w:w="231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0000020F" w14:textId="77777777" w:rsidR="009D7C1F" w:rsidRDefault="00000000">
            <w:pPr>
              <w:widowControl w:val="0"/>
              <w:spacing w:line="276" w:lineRule="auto"/>
              <w:rPr>
                <w:rFonts w:ascii="Arial" w:eastAsia="Arial" w:hAnsi="Arial" w:cs="Arial"/>
                <w:sz w:val="20"/>
                <w:szCs w:val="20"/>
              </w:rPr>
            </w:pPr>
            <w:r>
              <w:rPr>
                <w:rFonts w:ascii="Arial" w:eastAsia="Arial" w:hAnsi="Arial" w:cs="Arial"/>
                <w:sz w:val="20"/>
                <w:szCs w:val="20"/>
              </w:rPr>
              <w:t>150 - 180 días</w:t>
            </w:r>
          </w:p>
        </w:tc>
        <w:tc>
          <w:tcPr>
            <w:tcW w:w="165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00000210" w14:textId="77777777" w:rsidR="009D7C1F" w:rsidRDefault="00000000">
            <w:pPr>
              <w:widowControl w:val="0"/>
              <w:spacing w:line="276" w:lineRule="auto"/>
              <w:rPr>
                <w:rFonts w:ascii="Arial" w:eastAsia="Arial" w:hAnsi="Arial" w:cs="Arial"/>
                <w:sz w:val="20"/>
                <w:szCs w:val="20"/>
              </w:rPr>
            </w:pPr>
            <w:r>
              <w:rPr>
                <w:rFonts w:ascii="Arial" w:eastAsia="Arial" w:hAnsi="Arial" w:cs="Arial"/>
                <w:sz w:val="20"/>
                <w:szCs w:val="20"/>
              </w:rPr>
              <w:t>O3​ / PM2.5​</w:t>
            </w:r>
          </w:p>
        </w:tc>
        <w:tc>
          <w:tcPr>
            <w:tcW w:w="1665" w:type="dxa"/>
            <w:tcBorders>
              <w:top w:val="single" w:sz="5" w:space="0" w:color="CCCCCC"/>
              <w:left w:val="single" w:sz="5" w:space="0" w:color="CCCCCC"/>
              <w:bottom w:val="single" w:sz="5" w:space="0" w:color="000000"/>
              <w:right w:val="single" w:sz="5" w:space="0" w:color="000000"/>
            </w:tcBorders>
            <w:tcMar>
              <w:top w:w="40" w:type="dxa"/>
              <w:left w:w="0" w:type="dxa"/>
              <w:bottom w:w="40" w:type="dxa"/>
              <w:right w:w="0" w:type="dxa"/>
            </w:tcMar>
            <w:vAlign w:val="bottom"/>
          </w:tcPr>
          <w:p w14:paraId="00000211" w14:textId="77777777" w:rsidR="009D7C1F" w:rsidRDefault="00000000">
            <w:pPr>
              <w:widowControl w:val="0"/>
              <w:spacing w:line="276" w:lineRule="auto"/>
              <w:rPr>
                <w:rFonts w:ascii="Arial" w:eastAsia="Arial" w:hAnsi="Arial" w:cs="Arial"/>
                <w:sz w:val="20"/>
                <w:szCs w:val="20"/>
              </w:rPr>
            </w:pPr>
            <w:r>
              <w:rPr>
                <w:rFonts w:ascii="Arial" w:eastAsia="Arial" w:hAnsi="Arial" w:cs="Arial"/>
                <w:sz w:val="20"/>
                <w:szCs w:val="20"/>
              </w:rPr>
              <w:t>Alta persistencia por contingencias</w:t>
            </w:r>
          </w:p>
        </w:tc>
      </w:tr>
      <w:tr w:rsidR="009D7C1F" w14:paraId="6B040B63" w14:textId="77777777">
        <w:trPr>
          <w:trHeight w:val="315"/>
        </w:trPr>
        <w:tc>
          <w:tcPr>
            <w:tcW w:w="1800" w:type="dxa"/>
            <w:tcBorders>
              <w:top w:val="single" w:sz="5" w:space="0" w:color="CCCCCC"/>
              <w:left w:val="single" w:sz="5" w:space="0" w:color="000000"/>
              <w:bottom w:val="single" w:sz="5" w:space="0" w:color="000000"/>
              <w:right w:val="single" w:sz="5" w:space="0" w:color="000000"/>
            </w:tcBorders>
            <w:tcMar>
              <w:top w:w="40" w:type="dxa"/>
              <w:left w:w="40" w:type="dxa"/>
              <w:bottom w:w="40" w:type="dxa"/>
              <w:right w:w="40" w:type="dxa"/>
            </w:tcMar>
            <w:vAlign w:val="bottom"/>
          </w:tcPr>
          <w:p w14:paraId="00000212" w14:textId="77777777" w:rsidR="009D7C1F" w:rsidRDefault="00000000">
            <w:pPr>
              <w:widowControl w:val="0"/>
              <w:spacing w:line="276" w:lineRule="auto"/>
              <w:rPr>
                <w:rFonts w:ascii="Arial" w:eastAsia="Arial" w:hAnsi="Arial" w:cs="Arial"/>
                <w:sz w:val="20"/>
                <w:szCs w:val="20"/>
              </w:rPr>
            </w:pPr>
            <w:r>
              <w:rPr>
                <w:rFonts w:ascii="Arial" w:eastAsia="Arial" w:hAnsi="Arial" w:cs="Arial"/>
                <w:sz w:val="20"/>
                <w:szCs w:val="20"/>
              </w:rPr>
              <w:t>Centroamérica</w:t>
            </w:r>
          </w:p>
        </w:tc>
        <w:tc>
          <w:tcPr>
            <w:tcW w:w="231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00000213" w14:textId="77777777" w:rsidR="009D7C1F" w:rsidRDefault="00000000">
            <w:pPr>
              <w:widowControl w:val="0"/>
              <w:spacing w:line="276" w:lineRule="auto"/>
              <w:rPr>
                <w:rFonts w:ascii="Arial" w:eastAsia="Arial" w:hAnsi="Arial" w:cs="Arial"/>
                <w:sz w:val="20"/>
                <w:szCs w:val="20"/>
              </w:rPr>
            </w:pPr>
            <w:r>
              <w:rPr>
                <w:rFonts w:ascii="Arial" w:eastAsia="Arial" w:hAnsi="Arial" w:cs="Arial"/>
                <w:sz w:val="20"/>
                <w:szCs w:val="20"/>
              </w:rPr>
              <w:t>20 - 35 días</w:t>
            </w:r>
          </w:p>
        </w:tc>
        <w:tc>
          <w:tcPr>
            <w:tcW w:w="165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00000214" w14:textId="77777777" w:rsidR="009D7C1F" w:rsidRDefault="00000000">
            <w:pPr>
              <w:widowControl w:val="0"/>
              <w:spacing w:line="276" w:lineRule="auto"/>
              <w:rPr>
                <w:rFonts w:ascii="Arial" w:eastAsia="Arial" w:hAnsi="Arial" w:cs="Arial"/>
                <w:sz w:val="20"/>
                <w:szCs w:val="20"/>
              </w:rPr>
            </w:pPr>
            <w:r>
              <w:rPr>
                <w:rFonts w:ascii="Arial" w:eastAsia="Arial" w:hAnsi="Arial" w:cs="Arial"/>
                <w:sz w:val="20"/>
                <w:szCs w:val="20"/>
              </w:rPr>
              <w:t>Quemas agrícolas</w:t>
            </w:r>
          </w:p>
        </w:tc>
        <w:tc>
          <w:tcPr>
            <w:tcW w:w="1665" w:type="dxa"/>
            <w:tcBorders>
              <w:top w:val="single" w:sz="5" w:space="0" w:color="CCCCCC"/>
              <w:left w:val="single" w:sz="5" w:space="0" w:color="CCCCCC"/>
              <w:bottom w:val="single" w:sz="5" w:space="0" w:color="000000"/>
              <w:right w:val="single" w:sz="5" w:space="0" w:color="000000"/>
            </w:tcBorders>
            <w:tcMar>
              <w:top w:w="40" w:type="dxa"/>
              <w:left w:w="0" w:type="dxa"/>
              <w:bottom w:w="40" w:type="dxa"/>
              <w:right w:w="0" w:type="dxa"/>
            </w:tcMar>
            <w:vAlign w:val="bottom"/>
          </w:tcPr>
          <w:p w14:paraId="00000215" w14:textId="77777777" w:rsidR="009D7C1F" w:rsidRDefault="00000000">
            <w:pPr>
              <w:widowControl w:val="0"/>
              <w:spacing w:line="276" w:lineRule="auto"/>
              <w:rPr>
                <w:rFonts w:ascii="Arial" w:eastAsia="Arial" w:hAnsi="Arial" w:cs="Arial"/>
                <w:sz w:val="20"/>
                <w:szCs w:val="20"/>
              </w:rPr>
            </w:pPr>
            <w:r>
              <w:rPr>
                <w:rFonts w:ascii="Arial" w:eastAsia="Arial" w:hAnsi="Arial" w:cs="Arial"/>
                <w:sz w:val="20"/>
                <w:szCs w:val="20"/>
              </w:rPr>
              <w:t>Estacional (Febrero - Mayo)</w:t>
            </w:r>
          </w:p>
        </w:tc>
      </w:tr>
      <w:tr w:rsidR="009D7C1F" w14:paraId="1535CDFA" w14:textId="77777777">
        <w:trPr>
          <w:trHeight w:val="315"/>
        </w:trPr>
        <w:tc>
          <w:tcPr>
            <w:tcW w:w="1800" w:type="dxa"/>
            <w:tcBorders>
              <w:top w:val="single" w:sz="5" w:space="0" w:color="CCCCCC"/>
              <w:left w:val="single" w:sz="5" w:space="0" w:color="000000"/>
              <w:bottom w:val="single" w:sz="5" w:space="0" w:color="000000"/>
              <w:right w:val="single" w:sz="5" w:space="0" w:color="000000"/>
            </w:tcBorders>
            <w:tcMar>
              <w:top w:w="40" w:type="dxa"/>
              <w:left w:w="40" w:type="dxa"/>
              <w:bottom w:w="40" w:type="dxa"/>
              <w:right w:w="40" w:type="dxa"/>
            </w:tcMar>
            <w:vAlign w:val="bottom"/>
          </w:tcPr>
          <w:p w14:paraId="00000216" w14:textId="77777777" w:rsidR="009D7C1F" w:rsidRDefault="00000000">
            <w:pPr>
              <w:widowControl w:val="0"/>
              <w:spacing w:line="276" w:lineRule="auto"/>
              <w:rPr>
                <w:rFonts w:ascii="Arial" w:eastAsia="Arial" w:hAnsi="Arial" w:cs="Arial"/>
                <w:sz w:val="20"/>
                <w:szCs w:val="20"/>
              </w:rPr>
            </w:pPr>
            <w:r>
              <w:rPr>
                <w:rFonts w:ascii="Arial" w:eastAsia="Arial" w:hAnsi="Arial" w:cs="Arial"/>
                <w:sz w:val="20"/>
                <w:szCs w:val="20"/>
              </w:rPr>
              <w:t>Estados Unidos</w:t>
            </w:r>
          </w:p>
        </w:tc>
        <w:tc>
          <w:tcPr>
            <w:tcW w:w="231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00000217" w14:textId="77777777" w:rsidR="009D7C1F" w:rsidRDefault="00000000">
            <w:pPr>
              <w:widowControl w:val="0"/>
              <w:spacing w:line="276" w:lineRule="auto"/>
              <w:rPr>
                <w:rFonts w:ascii="Arial" w:eastAsia="Arial" w:hAnsi="Arial" w:cs="Arial"/>
                <w:sz w:val="20"/>
                <w:szCs w:val="20"/>
              </w:rPr>
            </w:pPr>
            <w:r>
              <w:rPr>
                <w:rFonts w:ascii="Arial" w:eastAsia="Arial" w:hAnsi="Arial" w:cs="Arial"/>
                <w:sz w:val="20"/>
                <w:szCs w:val="20"/>
              </w:rPr>
              <w:t>10 - 20 días</w:t>
            </w:r>
          </w:p>
        </w:tc>
        <w:tc>
          <w:tcPr>
            <w:tcW w:w="165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00000218" w14:textId="77777777" w:rsidR="009D7C1F" w:rsidRDefault="00000000">
            <w:pPr>
              <w:widowControl w:val="0"/>
              <w:spacing w:line="276" w:lineRule="auto"/>
              <w:rPr>
                <w:rFonts w:ascii="Arial" w:eastAsia="Arial" w:hAnsi="Arial" w:cs="Arial"/>
                <w:sz w:val="20"/>
                <w:szCs w:val="20"/>
              </w:rPr>
            </w:pPr>
            <w:r>
              <w:rPr>
                <w:rFonts w:ascii="Arial" w:eastAsia="Arial" w:hAnsi="Arial" w:cs="Arial"/>
                <w:sz w:val="20"/>
                <w:szCs w:val="20"/>
              </w:rPr>
              <w:t>O3​ / Incendios</w:t>
            </w:r>
          </w:p>
        </w:tc>
        <w:tc>
          <w:tcPr>
            <w:tcW w:w="1665" w:type="dxa"/>
            <w:tcBorders>
              <w:top w:val="single" w:sz="5" w:space="0" w:color="CCCCCC"/>
              <w:left w:val="single" w:sz="5" w:space="0" w:color="CCCCCC"/>
              <w:bottom w:val="single" w:sz="5" w:space="0" w:color="000000"/>
              <w:right w:val="single" w:sz="5" w:space="0" w:color="000000"/>
            </w:tcBorders>
            <w:tcMar>
              <w:top w:w="40" w:type="dxa"/>
              <w:left w:w="0" w:type="dxa"/>
              <w:bottom w:w="40" w:type="dxa"/>
              <w:right w:w="0" w:type="dxa"/>
            </w:tcMar>
            <w:vAlign w:val="bottom"/>
          </w:tcPr>
          <w:p w14:paraId="00000219" w14:textId="77777777" w:rsidR="009D7C1F" w:rsidRDefault="00000000">
            <w:pPr>
              <w:widowControl w:val="0"/>
              <w:spacing w:line="276" w:lineRule="auto"/>
              <w:rPr>
                <w:rFonts w:ascii="Arial" w:eastAsia="Arial" w:hAnsi="Arial" w:cs="Arial"/>
                <w:sz w:val="20"/>
                <w:szCs w:val="20"/>
              </w:rPr>
            </w:pPr>
            <w:r>
              <w:rPr>
                <w:rFonts w:ascii="Arial" w:eastAsia="Arial" w:hAnsi="Arial" w:cs="Arial"/>
                <w:sz w:val="20"/>
                <w:szCs w:val="20"/>
              </w:rPr>
              <w:t>Alzas puntuales por incendios en el Oeste</w:t>
            </w:r>
          </w:p>
        </w:tc>
      </w:tr>
      <w:tr w:rsidR="009D7C1F" w14:paraId="4C2BB0C8" w14:textId="77777777">
        <w:trPr>
          <w:trHeight w:val="315"/>
        </w:trPr>
        <w:tc>
          <w:tcPr>
            <w:tcW w:w="1800" w:type="dxa"/>
            <w:tcBorders>
              <w:top w:val="single" w:sz="5" w:space="0" w:color="CCCCCC"/>
              <w:left w:val="single" w:sz="5" w:space="0" w:color="000000"/>
              <w:bottom w:val="single" w:sz="5" w:space="0" w:color="000000"/>
              <w:right w:val="single" w:sz="5" w:space="0" w:color="000000"/>
            </w:tcBorders>
            <w:tcMar>
              <w:top w:w="40" w:type="dxa"/>
              <w:left w:w="40" w:type="dxa"/>
              <w:bottom w:w="40" w:type="dxa"/>
              <w:right w:w="40" w:type="dxa"/>
            </w:tcMar>
            <w:vAlign w:val="bottom"/>
          </w:tcPr>
          <w:p w14:paraId="0000021A" w14:textId="77777777" w:rsidR="009D7C1F" w:rsidRDefault="00000000">
            <w:pPr>
              <w:widowControl w:val="0"/>
              <w:spacing w:line="276" w:lineRule="auto"/>
              <w:rPr>
                <w:rFonts w:ascii="Arial" w:eastAsia="Arial" w:hAnsi="Arial" w:cs="Arial"/>
                <w:sz w:val="20"/>
                <w:szCs w:val="20"/>
              </w:rPr>
            </w:pPr>
            <w:r>
              <w:rPr>
                <w:rFonts w:ascii="Arial" w:eastAsia="Arial" w:hAnsi="Arial" w:cs="Arial"/>
                <w:sz w:val="20"/>
                <w:szCs w:val="20"/>
              </w:rPr>
              <w:t>Canadá</w:t>
            </w:r>
          </w:p>
        </w:tc>
        <w:tc>
          <w:tcPr>
            <w:tcW w:w="231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0000021B" w14:textId="77777777" w:rsidR="009D7C1F" w:rsidRDefault="00000000">
            <w:pPr>
              <w:widowControl w:val="0"/>
              <w:spacing w:line="276" w:lineRule="auto"/>
              <w:rPr>
                <w:rFonts w:ascii="Arial" w:eastAsia="Arial" w:hAnsi="Arial" w:cs="Arial"/>
                <w:sz w:val="20"/>
                <w:szCs w:val="20"/>
              </w:rPr>
            </w:pPr>
            <w:r>
              <w:rPr>
                <w:rFonts w:ascii="Arial" w:eastAsia="Arial" w:hAnsi="Arial" w:cs="Arial"/>
                <w:sz w:val="20"/>
                <w:szCs w:val="20"/>
              </w:rPr>
              <w:t>5 - 12 días</w:t>
            </w:r>
          </w:p>
        </w:tc>
        <w:tc>
          <w:tcPr>
            <w:tcW w:w="165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0000021C" w14:textId="77777777" w:rsidR="009D7C1F" w:rsidRDefault="00000000">
            <w:pPr>
              <w:widowControl w:val="0"/>
              <w:spacing w:line="276" w:lineRule="auto"/>
              <w:rPr>
                <w:rFonts w:ascii="Arial" w:eastAsia="Arial" w:hAnsi="Arial" w:cs="Arial"/>
                <w:sz w:val="20"/>
                <w:szCs w:val="20"/>
              </w:rPr>
            </w:pPr>
            <w:r>
              <w:rPr>
                <w:rFonts w:ascii="Arial" w:eastAsia="Arial" w:hAnsi="Arial" w:cs="Arial"/>
                <w:sz w:val="20"/>
                <w:szCs w:val="20"/>
              </w:rPr>
              <w:t>Humo de incendios</w:t>
            </w:r>
          </w:p>
        </w:tc>
        <w:tc>
          <w:tcPr>
            <w:tcW w:w="1665" w:type="dxa"/>
            <w:tcBorders>
              <w:top w:val="single" w:sz="5" w:space="0" w:color="CCCCCC"/>
              <w:left w:val="single" w:sz="5" w:space="0" w:color="CCCCCC"/>
              <w:bottom w:val="single" w:sz="5" w:space="0" w:color="000000"/>
              <w:right w:val="single" w:sz="5" w:space="0" w:color="000000"/>
            </w:tcBorders>
            <w:tcMar>
              <w:top w:w="40" w:type="dxa"/>
              <w:left w:w="0" w:type="dxa"/>
              <w:bottom w:w="40" w:type="dxa"/>
              <w:right w:w="0" w:type="dxa"/>
            </w:tcMar>
            <w:vAlign w:val="bottom"/>
          </w:tcPr>
          <w:p w14:paraId="0000021D" w14:textId="77777777" w:rsidR="009D7C1F" w:rsidRDefault="00000000">
            <w:pPr>
              <w:widowControl w:val="0"/>
              <w:spacing w:line="276" w:lineRule="auto"/>
              <w:rPr>
                <w:rFonts w:ascii="Arial" w:eastAsia="Arial" w:hAnsi="Arial" w:cs="Arial"/>
                <w:sz w:val="20"/>
                <w:szCs w:val="20"/>
              </w:rPr>
            </w:pPr>
            <w:r>
              <w:rPr>
                <w:rFonts w:ascii="Arial" w:eastAsia="Arial" w:hAnsi="Arial" w:cs="Arial"/>
                <w:sz w:val="20"/>
                <w:szCs w:val="20"/>
              </w:rPr>
              <w:t>Muy bajo, excepto en temporadas de fuego</w:t>
            </w:r>
          </w:p>
        </w:tc>
      </w:tr>
      <w:tr w:rsidR="009D7C1F" w14:paraId="4329D501" w14:textId="77777777">
        <w:trPr>
          <w:trHeight w:val="315"/>
        </w:trPr>
        <w:tc>
          <w:tcPr>
            <w:tcW w:w="1800" w:type="dxa"/>
            <w:tcBorders>
              <w:top w:val="single" w:sz="5" w:space="0" w:color="CCCCCC"/>
              <w:left w:val="single" w:sz="5" w:space="0" w:color="000000"/>
              <w:bottom w:val="single" w:sz="5" w:space="0" w:color="000000"/>
              <w:right w:val="single" w:sz="5" w:space="0" w:color="000000"/>
            </w:tcBorders>
            <w:tcMar>
              <w:top w:w="40" w:type="dxa"/>
              <w:left w:w="40" w:type="dxa"/>
              <w:bottom w:w="40" w:type="dxa"/>
              <w:right w:w="40" w:type="dxa"/>
            </w:tcMar>
            <w:vAlign w:val="bottom"/>
          </w:tcPr>
          <w:p w14:paraId="0000021E" w14:textId="77777777" w:rsidR="009D7C1F" w:rsidRDefault="00000000">
            <w:pPr>
              <w:widowControl w:val="0"/>
              <w:spacing w:line="276" w:lineRule="auto"/>
              <w:rPr>
                <w:rFonts w:ascii="Arial" w:eastAsia="Arial" w:hAnsi="Arial" w:cs="Arial"/>
                <w:sz w:val="20"/>
                <w:szCs w:val="20"/>
              </w:rPr>
            </w:pPr>
            <w:r>
              <w:rPr>
                <w:rFonts w:ascii="Arial" w:eastAsia="Arial" w:hAnsi="Arial" w:cs="Arial"/>
                <w:sz w:val="20"/>
                <w:szCs w:val="20"/>
              </w:rPr>
              <w:t>Europa (UE)</w:t>
            </w:r>
          </w:p>
        </w:tc>
        <w:tc>
          <w:tcPr>
            <w:tcW w:w="231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0000021F" w14:textId="77777777" w:rsidR="009D7C1F" w:rsidRDefault="00000000">
            <w:pPr>
              <w:widowControl w:val="0"/>
              <w:spacing w:line="276" w:lineRule="auto"/>
              <w:rPr>
                <w:rFonts w:ascii="Arial" w:eastAsia="Arial" w:hAnsi="Arial" w:cs="Arial"/>
                <w:sz w:val="20"/>
                <w:szCs w:val="20"/>
              </w:rPr>
            </w:pPr>
            <w:r>
              <w:rPr>
                <w:rFonts w:ascii="Arial" w:eastAsia="Arial" w:hAnsi="Arial" w:cs="Arial"/>
                <w:sz w:val="20"/>
                <w:szCs w:val="20"/>
              </w:rPr>
              <w:t>15 - 25 días</w:t>
            </w:r>
          </w:p>
        </w:tc>
        <w:tc>
          <w:tcPr>
            <w:tcW w:w="165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00000220" w14:textId="77777777" w:rsidR="009D7C1F" w:rsidRDefault="00000000">
            <w:pPr>
              <w:widowControl w:val="0"/>
              <w:spacing w:line="276" w:lineRule="auto"/>
              <w:rPr>
                <w:rFonts w:ascii="Arial" w:eastAsia="Arial" w:hAnsi="Arial" w:cs="Arial"/>
                <w:sz w:val="20"/>
                <w:szCs w:val="20"/>
              </w:rPr>
            </w:pPr>
            <w:r>
              <w:rPr>
                <w:rFonts w:ascii="Arial" w:eastAsia="Arial" w:hAnsi="Arial" w:cs="Arial"/>
                <w:sz w:val="20"/>
                <w:szCs w:val="20"/>
              </w:rPr>
              <w:t>NO2​ / PM10​</w:t>
            </w:r>
          </w:p>
        </w:tc>
        <w:tc>
          <w:tcPr>
            <w:tcW w:w="1665" w:type="dxa"/>
            <w:tcBorders>
              <w:top w:val="single" w:sz="5" w:space="0" w:color="CCCCCC"/>
              <w:left w:val="single" w:sz="5" w:space="0" w:color="CCCCCC"/>
              <w:bottom w:val="single" w:sz="5" w:space="0" w:color="000000"/>
              <w:right w:val="single" w:sz="5" w:space="0" w:color="000000"/>
            </w:tcBorders>
            <w:tcMar>
              <w:top w:w="40" w:type="dxa"/>
              <w:left w:w="0" w:type="dxa"/>
              <w:bottom w:w="40" w:type="dxa"/>
              <w:right w:w="0" w:type="dxa"/>
            </w:tcMar>
            <w:vAlign w:val="bottom"/>
          </w:tcPr>
          <w:p w14:paraId="00000221" w14:textId="77777777" w:rsidR="009D7C1F" w:rsidRDefault="00000000">
            <w:pPr>
              <w:widowControl w:val="0"/>
              <w:spacing w:line="276" w:lineRule="auto"/>
              <w:rPr>
                <w:rFonts w:ascii="Arial" w:eastAsia="Arial" w:hAnsi="Arial" w:cs="Arial"/>
                <w:sz w:val="20"/>
                <w:szCs w:val="20"/>
              </w:rPr>
            </w:pPr>
            <w:r>
              <w:rPr>
                <w:rFonts w:ascii="Arial" w:eastAsia="Arial" w:hAnsi="Arial" w:cs="Arial"/>
                <w:sz w:val="20"/>
                <w:szCs w:val="20"/>
              </w:rPr>
              <w:t>Estricta (Muchos días superan normas OMS)</w:t>
            </w:r>
          </w:p>
        </w:tc>
      </w:tr>
    </w:tbl>
    <w:p w14:paraId="00000222" w14:textId="77777777" w:rsidR="009D7C1F" w:rsidRDefault="009D7C1F">
      <w:pPr>
        <w:jc w:val="both"/>
        <w:rPr>
          <w:rFonts w:ascii="Arial" w:eastAsia="Arial" w:hAnsi="Arial" w:cs="Arial"/>
        </w:rPr>
      </w:pPr>
    </w:p>
    <w:p w14:paraId="00000223" w14:textId="77777777" w:rsidR="009D7C1F" w:rsidRDefault="00000000">
      <w:pPr>
        <w:spacing w:before="240" w:after="240"/>
        <w:jc w:val="both"/>
        <w:rPr>
          <w:rFonts w:ascii="Arial" w:eastAsia="Arial" w:hAnsi="Arial" w:cs="Arial"/>
        </w:rPr>
      </w:pPr>
      <w:r>
        <w:rPr>
          <w:rFonts w:ascii="Arial" w:eastAsia="Arial" w:hAnsi="Arial" w:cs="Arial"/>
        </w:rPr>
        <w:t>Bogotá se posiciona en un rango medio-bajo. Aunque ciudades como Santiago de Chile o Medellín reportan períodos de contingencia más agresivos debido a su topografía (valles cerrados), Bogotá ha logrado reducir sus días de alerta gracias a la renovación de las fases de TransMilenio y la implementación de zonas de baja emisión (ZUMA). El dato de 2.7% de riesgo en 2025 sitúa a la ciudad por debajo del promedio regional.</w:t>
      </w:r>
    </w:p>
    <w:p w14:paraId="00000224" w14:textId="77777777" w:rsidR="009D7C1F" w:rsidRDefault="009D7C1F">
      <w:pPr>
        <w:jc w:val="both"/>
        <w:rPr>
          <w:rFonts w:ascii="Arial" w:eastAsia="Arial" w:hAnsi="Arial" w:cs="Arial"/>
        </w:rPr>
      </w:pPr>
    </w:p>
    <w:p w14:paraId="00000225" w14:textId="77777777" w:rsidR="009D7C1F" w:rsidRDefault="009D7C1F">
      <w:pPr>
        <w:jc w:val="both"/>
        <w:rPr>
          <w:rFonts w:ascii="Arial" w:eastAsia="Arial" w:hAnsi="Arial" w:cs="Arial"/>
        </w:rPr>
      </w:pPr>
    </w:p>
    <w:p w14:paraId="00000226" w14:textId="77777777" w:rsidR="009D7C1F" w:rsidRDefault="00000000">
      <w:pPr>
        <w:numPr>
          <w:ilvl w:val="0"/>
          <w:numId w:val="6"/>
        </w:numPr>
        <w:spacing w:after="280"/>
        <w:jc w:val="both"/>
        <w:rPr>
          <w:rFonts w:ascii="Arial" w:eastAsia="Arial" w:hAnsi="Arial" w:cs="Arial"/>
        </w:rPr>
      </w:pPr>
      <w:r>
        <w:rPr>
          <w:rFonts w:ascii="Arial" w:eastAsia="Arial" w:hAnsi="Arial" w:cs="Arial"/>
        </w:rPr>
        <w:t>Informe cómo se posiciona el número de días al año en los que se ha activado alerta por mala calidad del aire en Bogotá durante la vigencia del 2016 hasta el 2026, frente al promedio de los países de la Organización para la Cooperación y el Desarrollo Económicos (OCDE).</w:t>
      </w:r>
    </w:p>
    <w:p w14:paraId="00000227" w14:textId="77777777" w:rsidR="009D7C1F" w:rsidRDefault="00000000">
      <w:pPr>
        <w:spacing w:before="240" w:after="240"/>
        <w:jc w:val="both"/>
        <w:rPr>
          <w:rFonts w:ascii="Arial" w:eastAsia="Arial" w:hAnsi="Arial" w:cs="Arial"/>
        </w:rPr>
      </w:pPr>
      <w:r>
        <w:rPr>
          <w:rFonts w:ascii="Arial" w:eastAsia="Arial" w:hAnsi="Arial" w:cs="Arial"/>
        </w:rPr>
        <w:t>En el contexto de la OCDE como lo muestra la Tabla, Bogotá se posiciona como una ciudad en proceso de convergencia. Mientras que el promedio de los países miembros registra menos de 20 días de excedencia anual bajo estándares estrictos, Bogotá ha logrado reducir su recurrencia de alertas de un promedio histórico de 40 días a solo 10 días en el periodo 2025. Esta tendencia demuestra que la política de descarbonización del transporte y las estrategias ZUMA están cerrando la brecha de calidad del aire entre la capital colombiana y los estándares internacionales de las economías desarrolladas.</w:t>
      </w:r>
    </w:p>
    <w:p w14:paraId="00000228" w14:textId="77777777" w:rsidR="009D7C1F" w:rsidRDefault="00000000">
      <w:pPr>
        <w:spacing w:after="280"/>
        <w:jc w:val="both"/>
        <w:rPr>
          <w:rFonts w:ascii="Arial" w:eastAsia="Arial" w:hAnsi="Arial" w:cs="Arial"/>
        </w:rPr>
      </w:pPr>
      <w:r>
        <w:rPr>
          <w:rFonts w:ascii="Arial" w:eastAsia="Arial" w:hAnsi="Arial" w:cs="Arial"/>
        </w:rPr>
        <w:t>Tabla# Posicionamiento de Bogotá frente a la OCDE</w:t>
      </w:r>
    </w:p>
    <w:tbl>
      <w:tblPr>
        <w:tblStyle w:val="a3"/>
        <w:tblW w:w="9404" w:type="dxa"/>
        <w:tblInd w:w="1" w:type="dxa"/>
        <w:tblBorders>
          <w:top w:val="nil"/>
          <w:left w:val="nil"/>
          <w:bottom w:val="nil"/>
          <w:right w:val="nil"/>
          <w:insideH w:val="nil"/>
          <w:insideV w:val="nil"/>
        </w:tblBorders>
        <w:tblLayout w:type="fixed"/>
        <w:tblLook w:val="0600" w:firstRow="0" w:lastRow="0" w:firstColumn="0" w:lastColumn="0" w:noHBand="1" w:noVBand="1"/>
      </w:tblPr>
      <w:tblGrid>
        <w:gridCol w:w="2023"/>
        <w:gridCol w:w="3071"/>
        <w:gridCol w:w="1666"/>
        <w:gridCol w:w="2644"/>
      </w:tblGrid>
      <w:tr w:rsidR="009D7C1F" w14:paraId="36DD53DE" w14:textId="77777777">
        <w:trPr>
          <w:trHeight w:val="510"/>
        </w:trPr>
        <w:tc>
          <w:tcPr>
            <w:tcW w:w="2023"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bottom"/>
          </w:tcPr>
          <w:p w14:paraId="00000229" w14:textId="77777777" w:rsidR="009D7C1F" w:rsidRDefault="00000000">
            <w:pPr>
              <w:widowControl w:val="0"/>
              <w:spacing w:line="276" w:lineRule="auto"/>
              <w:rPr>
                <w:rFonts w:ascii="Arial" w:eastAsia="Arial" w:hAnsi="Arial" w:cs="Arial"/>
                <w:sz w:val="20"/>
                <w:szCs w:val="20"/>
              </w:rPr>
            </w:pPr>
            <w:r>
              <w:rPr>
                <w:rFonts w:ascii="Arial" w:eastAsia="Arial" w:hAnsi="Arial" w:cs="Arial"/>
                <w:sz w:val="20"/>
                <w:szCs w:val="20"/>
              </w:rPr>
              <w:t>Región / Referencia</w:t>
            </w:r>
          </w:p>
        </w:tc>
        <w:tc>
          <w:tcPr>
            <w:tcW w:w="3070"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bottom"/>
          </w:tcPr>
          <w:p w14:paraId="0000022A" w14:textId="77777777" w:rsidR="009D7C1F" w:rsidRDefault="00000000">
            <w:pPr>
              <w:widowControl w:val="0"/>
              <w:spacing w:line="276" w:lineRule="auto"/>
              <w:rPr>
                <w:rFonts w:ascii="Arial" w:eastAsia="Arial" w:hAnsi="Arial" w:cs="Arial"/>
                <w:sz w:val="20"/>
                <w:szCs w:val="20"/>
              </w:rPr>
            </w:pPr>
            <w:r>
              <w:rPr>
                <w:rFonts w:ascii="Arial" w:eastAsia="Arial" w:hAnsi="Arial" w:cs="Arial"/>
                <w:sz w:val="20"/>
                <w:szCs w:val="20"/>
              </w:rPr>
              <w:t>Días/Año con Excedencia (Promedio 10 años)</w:t>
            </w:r>
          </w:p>
        </w:tc>
        <w:tc>
          <w:tcPr>
            <w:tcW w:w="1666"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bottom"/>
          </w:tcPr>
          <w:p w14:paraId="0000022B" w14:textId="77777777" w:rsidR="009D7C1F" w:rsidRDefault="00000000">
            <w:pPr>
              <w:widowControl w:val="0"/>
              <w:spacing w:line="276" w:lineRule="auto"/>
              <w:rPr>
                <w:rFonts w:ascii="Arial" w:eastAsia="Arial" w:hAnsi="Arial" w:cs="Arial"/>
                <w:sz w:val="20"/>
                <w:szCs w:val="20"/>
              </w:rPr>
            </w:pPr>
            <w:r>
              <w:rPr>
                <w:rFonts w:ascii="Arial" w:eastAsia="Arial" w:hAnsi="Arial" w:cs="Arial"/>
                <w:sz w:val="20"/>
                <w:szCs w:val="20"/>
              </w:rPr>
              <w:t>Rigor Normativo (Límite PM2.5)</w:t>
            </w:r>
          </w:p>
        </w:tc>
        <w:tc>
          <w:tcPr>
            <w:tcW w:w="2643"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bottom"/>
          </w:tcPr>
          <w:p w14:paraId="0000022C" w14:textId="77777777" w:rsidR="009D7C1F" w:rsidRDefault="00000000">
            <w:pPr>
              <w:widowControl w:val="0"/>
              <w:spacing w:line="276" w:lineRule="auto"/>
              <w:rPr>
                <w:rFonts w:ascii="Arial" w:eastAsia="Arial" w:hAnsi="Arial" w:cs="Arial"/>
                <w:sz w:val="20"/>
                <w:szCs w:val="20"/>
              </w:rPr>
            </w:pPr>
            <w:r>
              <w:rPr>
                <w:rFonts w:ascii="Arial" w:eastAsia="Arial" w:hAnsi="Arial" w:cs="Arial"/>
                <w:sz w:val="20"/>
                <w:szCs w:val="20"/>
              </w:rPr>
              <w:t>Estatus de Cumplimiento</w:t>
            </w:r>
          </w:p>
        </w:tc>
      </w:tr>
      <w:tr w:rsidR="009D7C1F" w14:paraId="63E73095" w14:textId="77777777">
        <w:trPr>
          <w:trHeight w:val="510"/>
        </w:trPr>
        <w:tc>
          <w:tcPr>
            <w:tcW w:w="2023" w:type="dxa"/>
            <w:tcBorders>
              <w:top w:val="single" w:sz="5" w:space="0" w:color="CCCCCC"/>
              <w:left w:val="single" w:sz="5" w:space="0" w:color="000000"/>
              <w:bottom w:val="single" w:sz="5" w:space="0" w:color="000000"/>
              <w:right w:val="single" w:sz="5" w:space="0" w:color="000000"/>
            </w:tcBorders>
            <w:tcMar>
              <w:top w:w="40" w:type="dxa"/>
              <w:left w:w="40" w:type="dxa"/>
              <w:bottom w:w="40" w:type="dxa"/>
              <w:right w:w="40" w:type="dxa"/>
            </w:tcMar>
            <w:vAlign w:val="bottom"/>
          </w:tcPr>
          <w:p w14:paraId="0000022D" w14:textId="77777777" w:rsidR="009D7C1F" w:rsidRDefault="00000000">
            <w:pPr>
              <w:widowControl w:val="0"/>
              <w:spacing w:line="276" w:lineRule="auto"/>
              <w:rPr>
                <w:rFonts w:ascii="Arial" w:eastAsia="Arial" w:hAnsi="Arial" w:cs="Arial"/>
                <w:sz w:val="20"/>
                <w:szCs w:val="20"/>
              </w:rPr>
            </w:pPr>
            <w:r>
              <w:rPr>
                <w:rFonts w:ascii="Arial" w:eastAsia="Arial" w:hAnsi="Arial" w:cs="Arial"/>
                <w:sz w:val="20"/>
                <w:szCs w:val="20"/>
              </w:rPr>
              <w:t>Bogotá (RMCAB)</w:t>
            </w:r>
          </w:p>
        </w:tc>
        <w:tc>
          <w:tcPr>
            <w:tcW w:w="307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0000022E" w14:textId="77777777" w:rsidR="009D7C1F" w:rsidRDefault="00000000">
            <w:pPr>
              <w:widowControl w:val="0"/>
              <w:spacing w:line="276" w:lineRule="auto"/>
              <w:rPr>
                <w:rFonts w:ascii="Arial" w:eastAsia="Arial" w:hAnsi="Arial" w:cs="Arial"/>
                <w:sz w:val="20"/>
                <w:szCs w:val="20"/>
              </w:rPr>
            </w:pPr>
            <w:r>
              <w:rPr>
                <w:rFonts w:ascii="Arial" w:eastAsia="Arial" w:hAnsi="Arial" w:cs="Arial"/>
                <w:sz w:val="20"/>
                <w:szCs w:val="20"/>
              </w:rPr>
              <w:t>30 - 45 días</w:t>
            </w:r>
          </w:p>
        </w:tc>
        <w:tc>
          <w:tcPr>
            <w:tcW w:w="1666"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0000022F" w14:textId="77777777" w:rsidR="009D7C1F" w:rsidRDefault="00000000">
            <w:pPr>
              <w:widowControl w:val="0"/>
              <w:spacing w:line="276" w:lineRule="auto"/>
              <w:rPr>
                <w:rFonts w:ascii="Arial" w:eastAsia="Arial" w:hAnsi="Arial" w:cs="Arial"/>
                <w:sz w:val="20"/>
                <w:szCs w:val="20"/>
              </w:rPr>
            </w:pPr>
            <w:r>
              <w:rPr>
                <w:rFonts w:ascii="Arial" w:eastAsia="Arial" w:hAnsi="Arial" w:cs="Arial"/>
                <w:sz w:val="20"/>
                <w:szCs w:val="20"/>
              </w:rPr>
              <w:t>37μg/m3 (Res. 2254)</w:t>
            </w:r>
          </w:p>
        </w:tc>
        <w:tc>
          <w:tcPr>
            <w:tcW w:w="2643"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00000230" w14:textId="77777777" w:rsidR="009D7C1F" w:rsidRDefault="00000000">
            <w:pPr>
              <w:widowControl w:val="0"/>
              <w:spacing w:line="276" w:lineRule="auto"/>
              <w:rPr>
                <w:rFonts w:ascii="Arial" w:eastAsia="Arial" w:hAnsi="Arial" w:cs="Arial"/>
                <w:sz w:val="20"/>
                <w:szCs w:val="20"/>
              </w:rPr>
            </w:pPr>
            <w:r>
              <w:rPr>
                <w:rFonts w:ascii="Arial" w:eastAsia="Arial" w:hAnsi="Arial" w:cs="Arial"/>
                <w:sz w:val="20"/>
                <w:szCs w:val="20"/>
              </w:rPr>
              <w:t>En transición (Mejora en 2025)</w:t>
            </w:r>
          </w:p>
        </w:tc>
      </w:tr>
      <w:tr w:rsidR="009D7C1F" w14:paraId="373FA22A" w14:textId="77777777">
        <w:trPr>
          <w:trHeight w:val="315"/>
        </w:trPr>
        <w:tc>
          <w:tcPr>
            <w:tcW w:w="2023" w:type="dxa"/>
            <w:tcBorders>
              <w:top w:val="single" w:sz="5" w:space="0" w:color="CCCCCC"/>
              <w:left w:val="single" w:sz="5" w:space="0" w:color="000000"/>
              <w:bottom w:val="single" w:sz="5" w:space="0" w:color="000000"/>
              <w:right w:val="single" w:sz="5" w:space="0" w:color="000000"/>
            </w:tcBorders>
            <w:tcMar>
              <w:top w:w="40" w:type="dxa"/>
              <w:left w:w="40" w:type="dxa"/>
              <w:bottom w:w="40" w:type="dxa"/>
              <w:right w:w="40" w:type="dxa"/>
            </w:tcMar>
            <w:vAlign w:val="bottom"/>
          </w:tcPr>
          <w:p w14:paraId="00000231" w14:textId="77777777" w:rsidR="009D7C1F" w:rsidRDefault="00000000">
            <w:pPr>
              <w:widowControl w:val="0"/>
              <w:spacing w:line="276" w:lineRule="auto"/>
              <w:rPr>
                <w:rFonts w:ascii="Arial" w:eastAsia="Arial" w:hAnsi="Arial" w:cs="Arial"/>
                <w:sz w:val="20"/>
                <w:szCs w:val="20"/>
              </w:rPr>
            </w:pPr>
            <w:r>
              <w:rPr>
                <w:rFonts w:ascii="Arial" w:eastAsia="Arial" w:hAnsi="Arial" w:cs="Arial"/>
                <w:sz w:val="20"/>
                <w:szCs w:val="20"/>
              </w:rPr>
              <w:t>Promedio OCDE</w:t>
            </w:r>
          </w:p>
        </w:tc>
        <w:tc>
          <w:tcPr>
            <w:tcW w:w="307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00000232" w14:textId="77777777" w:rsidR="009D7C1F" w:rsidRDefault="00000000">
            <w:pPr>
              <w:widowControl w:val="0"/>
              <w:spacing w:line="276" w:lineRule="auto"/>
              <w:rPr>
                <w:rFonts w:ascii="Arial" w:eastAsia="Arial" w:hAnsi="Arial" w:cs="Arial"/>
                <w:sz w:val="20"/>
                <w:szCs w:val="20"/>
              </w:rPr>
            </w:pPr>
            <w:r>
              <w:rPr>
                <w:rFonts w:ascii="Arial" w:eastAsia="Arial" w:hAnsi="Arial" w:cs="Arial"/>
                <w:sz w:val="20"/>
                <w:szCs w:val="20"/>
              </w:rPr>
              <w:t>12 - 18 días</w:t>
            </w:r>
          </w:p>
        </w:tc>
        <w:tc>
          <w:tcPr>
            <w:tcW w:w="1666"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00000233" w14:textId="77777777" w:rsidR="009D7C1F" w:rsidRDefault="00000000">
            <w:pPr>
              <w:widowControl w:val="0"/>
              <w:spacing w:line="276" w:lineRule="auto"/>
              <w:rPr>
                <w:rFonts w:ascii="Arial" w:eastAsia="Arial" w:hAnsi="Arial" w:cs="Arial"/>
                <w:sz w:val="20"/>
                <w:szCs w:val="20"/>
              </w:rPr>
            </w:pPr>
            <w:sdt>
              <w:sdtPr>
                <w:tag w:val="goog_rdk_19"/>
                <w:id w:val="-1665150223"/>
              </w:sdtPr>
              <w:sdtContent>
                <w:r>
                  <w:rPr>
                    <w:rFonts w:ascii="Arial Unicode MS" w:eastAsia="Arial Unicode MS" w:hAnsi="Arial Unicode MS" w:cs="Arial Unicode MS"/>
                    <w:sz w:val="20"/>
                    <w:szCs w:val="20"/>
                  </w:rPr>
                  <w:t>15−25μg/m3</w:t>
                </w:r>
              </w:sdtContent>
            </w:sdt>
          </w:p>
        </w:tc>
        <w:tc>
          <w:tcPr>
            <w:tcW w:w="2643"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00000234" w14:textId="77777777" w:rsidR="009D7C1F" w:rsidRDefault="00000000">
            <w:pPr>
              <w:widowControl w:val="0"/>
              <w:spacing w:line="276" w:lineRule="auto"/>
              <w:rPr>
                <w:rFonts w:ascii="Arial" w:eastAsia="Arial" w:hAnsi="Arial" w:cs="Arial"/>
                <w:sz w:val="20"/>
                <w:szCs w:val="20"/>
              </w:rPr>
            </w:pPr>
            <w:r>
              <w:rPr>
                <w:rFonts w:ascii="Arial" w:eastAsia="Arial" w:hAnsi="Arial" w:cs="Arial"/>
                <w:sz w:val="20"/>
                <w:szCs w:val="20"/>
              </w:rPr>
              <w:t>Estándar Alto</w:t>
            </w:r>
          </w:p>
        </w:tc>
      </w:tr>
      <w:tr w:rsidR="009D7C1F" w14:paraId="1F3CFD87" w14:textId="77777777">
        <w:trPr>
          <w:trHeight w:val="315"/>
        </w:trPr>
        <w:tc>
          <w:tcPr>
            <w:tcW w:w="2023" w:type="dxa"/>
            <w:tcBorders>
              <w:top w:val="single" w:sz="5" w:space="0" w:color="CCCCCC"/>
              <w:left w:val="single" w:sz="5" w:space="0" w:color="000000"/>
              <w:bottom w:val="single" w:sz="5" w:space="0" w:color="000000"/>
              <w:right w:val="single" w:sz="5" w:space="0" w:color="000000"/>
            </w:tcBorders>
            <w:tcMar>
              <w:top w:w="40" w:type="dxa"/>
              <w:left w:w="40" w:type="dxa"/>
              <w:bottom w:w="40" w:type="dxa"/>
              <w:right w:w="40" w:type="dxa"/>
            </w:tcMar>
            <w:vAlign w:val="bottom"/>
          </w:tcPr>
          <w:p w14:paraId="00000235" w14:textId="77777777" w:rsidR="009D7C1F" w:rsidRDefault="00000000">
            <w:pPr>
              <w:widowControl w:val="0"/>
              <w:spacing w:line="276" w:lineRule="auto"/>
              <w:rPr>
                <w:rFonts w:ascii="Arial" w:eastAsia="Arial" w:hAnsi="Arial" w:cs="Arial"/>
                <w:sz w:val="20"/>
                <w:szCs w:val="20"/>
              </w:rPr>
            </w:pPr>
            <w:r>
              <w:rPr>
                <w:rFonts w:ascii="Arial" w:eastAsia="Arial" w:hAnsi="Arial" w:cs="Arial"/>
                <w:sz w:val="20"/>
                <w:szCs w:val="20"/>
              </w:rPr>
              <w:t>Límite OMS (Ideal)</w:t>
            </w:r>
          </w:p>
        </w:tc>
        <w:tc>
          <w:tcPr>
            <w:tcW w:w="307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00000236" w14:textId="77777777" w:rsidR="009D7C1F" w:rsidRDefault="00000000">
            <w:pPr>
              <w:widowControl w:val="0"/>
              <w:spacing w:line="276" w:lineRule="auto"/>
              <w:rPr>
                <w:rFonts w:ascii="Arial" w:eastAsia="Arial" w:hAnsi="Arial" w:cs="Arial"/>
                <w:sz w:val="20"/>
                <w:szCs w:val="20"/>
              </w:rPr>
            </w:pPr>
            <w:r>
              <w:rPr>
                <w:rFonts w:ascii="Arial" w:eastAsia="Arial" w:hAnsi="Arial" w:cs="Arial"/>
                <w:sz w:val="20"/>
                <w:szCs w:val="20"/>
              </w:rPr>
              <w:t>0 días</w:t>
            </w:r>
          </w:p>
        </w:tc>
        <w:tc>
          <w:tcPr>
            <w:tcW w:w="1666"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00000237" w14:textId="77777777" w:rsidR="009D7C1F" w:rsidRDefault="00000000">
            <w:pPr>
              <w:widowControl w:val="0"/>
              <w:spacing w:line="276" w:lineRule="auto"/>
              <w:rPr>
                <w:rFonts w:ascii="Arial" w:eastAsia="Arial" w:hAnsi="Arial" w:cs="Arial"/>
                <w:sz w:val="20"/>
                <w:szCs w:val="20"/>
              </w:rPr>
            </w:pPr>
            <w:r>
              <w:rPr>
                <w:rFonts w:ascii="Arial" w:eastAsia="Arial" w:hAnsi="Arial" w:cs="Arial"/>
                <w:sz w:val="20"/>
                <w:szCs w:val="20"/>
              </w:rPr>
              <w:t>15μg/m3 (24h)</w:t>
            </w:r>
          </w:p>
        </w:tc>
        <w:tc>
          <w:tcPr>
            <w:tcW w:w="2643"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00000238" w14:textId="77777777" w:rsidR="009D7C1F" w:rsidRDefault="00000000">
            <w:pPr>
              <w:widowControl w:val="0"/>
              <w:spacing w:line="276" w:lineRule="auto"/>
              <w:rPr>
                <w:rFonts w:ascii="Arial" w:eastAsia="Arial" w:hAnsi="Arial" w:cs="Arial"/>
                <w:sz w:val="20"/>
                <w:szCs w:val="20"/>
              </w:rPr>
            </w:pPr>
            <w:r>
              <w:rPr>
                <w:rFonts w:ascii="Arial" w:eastAsia="Arial" w:hAnsi="Arial" w:cs="Arial"/>
                <w:sz w:val="20"/>
                <w:szCs w:val="20"/>
              </w:rPr>
              <w:t>Objetivo Global</w:t>
            </w:r>
          </w:p>
        </w:tc>
      </w:tr>
    </w:tbl>
    <w:p w14:paraId="00000239" w14:textId="77777777" w:rsidR="009D7C1F" w:rsidRDefault="009D7C1F">
      <w:pPr>
        <w:spacing w:after="280"/>
        <w:jc w:val="both"/>
        <w:rPr>
          <w:rFonts w:ascii="Arial" w:eastAsia="Arial" w:hAnsi="Arial" w:cs="Arial"/>
        </w:rPr>
      </w:pPr>
    </w:p>
    <w:p w14:paraId="0000023A" w14:textId="77777777" w:rsidR="009D7C1F" w:rsidRDefault="009D7C1F"/>
    <w:p w14:paraId="0000023B" w14:textId="77777777" w:rsidR="009D7C1F" w:rsidRDefault="009D7C1F">
      <w:pPr>
        <w:pBdr>
          <w:top w:val="nil"/>
          <w:left w:val="nil"/>
          <w:bottom w:val="nil"/>
          <w:right w:val="nil"/>
          <w:between w:val="nil"/>
        </w:pBdr>
        <w:jc w:val="both"/>
        <w:rPr>
          <w:rFonts w:ascii="Arial" w:eastAsia="Arial" w:hAnsi="Arial" w:cs="Arial"/>
          <w:sz w:val="22"/>
          <w:szCs w:val="22"/>
        </w:rPr>
      </w:pPr>
    </w:p>
    <w:p w14:paraId="0000023C" w14:textId="77777777" w:rsidR="009D7C1F" w:rsidRDefault="009D7C1F">
      <w:pPr>
        <w:pBdr>
          <w:top w:val="nil"/>
          <w:left w:val="nil"/>
          <w:bottom w:val="nil"/>
          <w:right w:val="nil"/>
          <w:between w:val="nil"/>
        </w:pBdr>
        <w:jc w:val="both"/>
        <w:rPr>
          <w:rFonts w:ascii="Arial" w:eastAsia="Arial" w:hAnsi="Arial" w:cs="Arial"/>
          <w:sz w:val="22"/>
          <w:szCs w:val="22"/>
        </w:rPr>
      </w:pPr>
    </w:p>
    <w:p w14:paraId="0000023D" w14:textId="77777777" w:rsidR="009D7C1F" w:rsidRDefault="009D7C1F">
      <w:pPr>
        <w:pBdr>
          <w:top w:val="nil"/>
          <w:left w:val="nil"/>
          <w:bottom w:val="nil"/>
          <w:right w:val="nil"/>
          <w:between w:val="nil"/>
        </w:pBdr>
        <w:jc w:val="both"/>
        <w:rPr>
          <w:rFonts w:ascii="Arial" w:eastAsia="Arial" w:hAnsi="Arial" w:cs="Arial"/>
          <w:sz w:val="22"/>
          <w:szCs w:val="22"/>
        </w:rPr>
      </w:pPr>
    </w:p>
    <w:p w14:paraId="0000023E" w14:textId="77777777" w:rsidR="009D7C1F" w:rsidRDefault="009D7C1F">
      <w:pPr>
        <w:pBdr>
          <w:top w:val="nil"/>
          <w:left w:val="nil"/>
          <w:bottom w:val="nil"/>
          <w:right w:val="nil"/>
          <w:between w:val="nil"/>
        </w:pBdr>
        <w:jc w:val="both"/>
        <w:rPr>
          <w:rFonts w:ascii="Arial" w:eastAsia="Arial" w:hAnsi="Arial" w:cs="Arial"/>
          <w:sz w:val="22"/>
          <w:szCs w:val="22"/>
        </w:rPr>
      </w:pPr>
    </w:p>
    <w:p w14:paraId="0000023F" w14:textId="77777777" w:rsidR="009D7C1F" w:rsidRDefault="009D7C1F">
      <w:pPr>
        <w:pBdr>
          <w:top w:val="nil"/>
          <w:left w:val="nil"/>
          <w:bottom w:val="nil"/>
          <w:right w:val="nil"/>
          <w:between w:val="nil"/>
        </w:pBdr>
        <w:jc w:val="both"/>
        <w:rPr>
          <w:rFonts w:ascii="Arial" w:eastAsia="Arial" w:hAnsi="Arial" w:cs="Arial"/>
          <w:sz w:val="22"/>
          <w:szCs w:val="22"/>
        </w:rPr>
      </w:pPr>
    </w:p>
    <w:p w14:paraId="00000240" w14:textId="77777777" w:rsidR="009D7C1F" w:rsidRDefault="009D7C1F">
      <w:pPr>
        <w:pBdr>
          <w:top w:val="nil"/>
          <w:left w:val="nil"/>
          <w:bottom w:val="nil"/>
          <w:right w:val="nil"/>
          <w:between w:val="nil"/>
        </w:pBdr>
        <w:jc w:val="both"/>
        <w:rPr>
          <w:rFonts w:ascii="Arial" w:eastAsia="Arial" w:hAnsi="Arial" w:cs="Arial"/>
          <w:sz w:val="22"/>
          <w:szCs w:val="22"/>
        </w:rPr>
      </w:pPr>
    </w:p>
    <w:p w14:paraId="00000241" w14:textId="77777777" w:rsidR="009D7C1F" w:rsidRDefault="009D7C1F">
      <w:pPr>
        <w:pBdr>
          <w:top w:val="nil"/>
          <w:left w:val="nil"/>
          <w:bottom w:val="nil"/>
          <w:right w:val="nil"/>
          <w:between w:val="nil"/>
        </w:pBdr>
        <w:jc w:val="both"/>
        <w:rPr>
          <w:rFonts w:ascii="Arial" w:eastAsia="Arial" w:hAnsi="Arial" w:cs="Arial"/>
          <w:sz w:val="22"/>
          <w:szCs w:val="22"/>
        </w:rPr>
      </w:pPr>
    </w:p>
    <w:p w14:paraId="00000242" w14:textId="77777777" w:rsidR="009D7C1F" w:rsidRDefault="009D7C1F">
      <w:pPr>
        <w:pBdr>
          <w:top w:val="nil"/>
          <w:left w:val="nil"/>
          <w:bottom w:val="nil"/>
          <w:right w:val="nil"/>
          <w:between w:val="nil"/>
        </w:pBdr>
        <w:jc w:val="both"/>
        <w:rPr>
          <w:rFonts w:ascii="Arial" w:eastAsia="Arial" w:hAnsi="Arial" w:cs="Arial"/>
          <w:sz w:val="22"/>
          <w:szCs w:val="22"/>
        </w:rPr>
      </w:pPr>
    </w:p>
    <w:p w14:paraId="00000243" w14:textId="77777777" w:rsidR="009D7C1F" w:rsidRDefault="009D7C1F">
      <w:pPr>
        <w:pBdr>
          <w:top w:val="nil"/>
          <w:left w:val="nil"/>
          <w:bottom w:val="nil"/>
          <w:right w:val="nil"/>
          <w:between w:val="nil"/>
        </w:pBdr>
        <w:jc w:val="both"/>
        <w:rPr>
          <w:rFonts w:ascii="Arial" w:eastAsia="Arial" w:hAnsi="Arial" w:cs="Arial"/>
          <w:sz w:val="22"/>
          <w:szCs w:val="22"/>
        </w:rPr>
      </w:pPr>
    </w:p>
    <w:p w14:paraId="00000244" w14:textId="77777777" w:rsidR="009D7C1F" w:rsidRDefault="00000000">
      <w:pPr>
        <w:tabs>
          <w:tab w:val="left" w:pos="567"/>
        </w:tabs>
        <w:rPr>
          <w:rFonts w:ascii="Arial" w:eastAsia="Arial" w:hAnsi="Arial" w:cs="Arial"/>
          <w:sz w:val="22"/>
          <w:szCs w:val="22"/>
        </w:rPr>
        <w:sectPr w:rsidR="009D7C1F">
          <w:type w:val="continuous"/>
          <w:pgSz w:w="12242" w:h="15842"/>
          <w:pgMar w:top="2268" w:right="1418" w:bottom="2268" w:left="1418" w:header="0" w:footer="0" w:gutter="0"/>
          <w:cols w:space="720"/>
        </w:sectPr>
      </w:pPr>
      <w:r>
        <w:rPr>
          <w:rFonts w:ascii="Arial" w:eastAsia="Arial" w:hAnsi="Arial" w:cs="Arial"/>
          <w:sz w:val="22"/>
          <w:szCs w:val="22"/>
        </w:rPr>
        <w:t>Atentamente,</w:t>
      </w:r>
    </w:p>
    <w:p w14:paraId="00000245" w14:textId="77777777" w:rsidR="009D7C1F" w:rsidRDefault="009D7C1F">
      <w:pPr>
        <w:tabs>
          <w:tab w:val="left" w:pos="567"/>
        </w:tabs>
        <w:rPr>
          <w:rFonts w:ascii="Arial" w:eastAsia="Arial" w:hAnsi="Arial" w:cs="Arial"/>
          <w:sz w:val="22"/>
          <w:szCs w:val="22"/>
        </w:rPr>
      </w:pPr>
    </w:p>
    <w:p w14:paraId="00000246" w14:textId="77777777" w:rsidR="009D7C1F" w:rsidRDefault="00000000">
      <w:pPr>
        <w:rPr>
          <w:rFonts w:ascii="Arial" w:eastAsia="Arial" w:hAnsi="Arial" w:cs="Arial"/>
          <w:b/>
          <w:bCs/>
        </w:rPr>
      </w:pPr>
      <w:bookmarkStart w:id="21" w:name="bookmark=id.3tgp5uzbaijc" w:colFirst="0" w:colLast="0"/>
      <w:bookmarkEnd w:id="21"/>
      <w:r>
        <w:rPr>
          <w:rFonts w:ascii="Arial" w:eastAsia="Arial" w:hAnsi="Arial" w:cs="Arial"/>
          <w:b/>
          <w:bCs/>
        </w:rPr>
        <w:t>NOMBRE DEL REMITENTE</w:t>
      </w:r>
    </w:p>
    <w:p w14:paraId="00000247" w14:textId="77777777" w:rsidR="009D7C1F" w:rsidRDefault="00000000">
      <w:pPr>
        <w:rPr>
          <w:rFonts w:ascii="Arial" w:eastAsia="Arial" w:hAnsi="Arial" w:cs="Arial"/>
          <w:b/>
          <w:bCs/>
        </w:rPr>
      </w:pPr>
      <w:bookmarkStart w:id="22" w:name="bookmark=id.4s9gfjqb2onk" w:colFirst="0" w:colLast="0"/>
      <w:bookmarkEnd w:id="22"/>
      <w:r>
        <w:rPr>
          <w:rFonts w:ascii="Arial" w:eastAsia="Arial" w:hAnsi="Arial" w:cs="Arial"/>
          <w:b/>
          <w:bCs/>
        </w:rPr>
        <w:t>DEPENDENCIA</w:t>
      </w:r>
    </w:p>
    <w:p w14:paraId="00000248" w14:textId="77777777" w:rsidR="009D7C1F" w:rsidRDefault="009D7C1F">
      <w:pPr>
        <w:rPr>
          <w:rFonts w:ascii="Arial" w:eastAsia="Arial" w:hAnsi="Arial" w:cs="Arial"/>
          <w:b/>
          <w:bCs/>
        </w:rPr>
        <w:sectPr w:rsidR="009D7C1F">
          <w:type w:val="continuous"/>
          <w:pgSz w:w="12242" w:h="15842"/>
          <w:pgMar w:top="2268" w:right="1418" w:bottom="2268" w:left="1418" w:header="0" w:footer="0" w:gutter="0"/>
          <w:cols w:space="720"/>
        </w:sectPr>
      </w:pPr>
    </w:p>
    <w:p w14:paraId="00000249" w14:textId="77777777" w:rsidR="009D7C1F" w:rsidRDefault="00000000">
      <w:pPr>
        <w:rPr>
          <w:rFonts w:ascii="Arial" w:eastAsia="Arial" w:hAnsi="Arial" w:cs="Arial"/>
          <w:sz w:val="22"/>
          <w:szCs w:val="22"/>
        </w:rPr>
      </w:pPr>
      <w:r>
        <w:rPr>
          <w:rFonts w:ascii="Arial" w:eastAsia="Arial" w:hAnsi="Arial" w:cs="Arial"/>
          <w:sz w:val="22"/>
          <w:szCs w:val="22"/>
        </w:rPr>
        <w:t>(Anexos)</w:t>
      </w:r>
    </w:p>
    <w:p w14:paraId="0000024A" w14:textId="77777777" w:rsidR="009D7C1F" w:rsidRDefault="009D7C1F">
      <w:pPr>
        <w:rPr>
          <w:rFonts w:ascii="Arial" w:eastAsia="Arial" w:hAnsi="Arial" w:cs="Arial"/>
          <w:i/>
          <w:iCs/>
          <w:sz w:val="16"/>
          <w:szCs w:val="16"/>
        </w:rPr>
        <w:sectPr w:rsidR="009D7C1F">
          <w:type w:val="continuous"/>
          <w:pgSz w:w="12242" w:h="15842"/>
          <w:pgMar w:top="2268" w:right="1418" w:bottom="2268" w:left="1418" w:header="0" w:footer="0" w:gutter="0"/>
          <w:cols w:space="720"/>
        </w:sectPr>
      </w:pPr>
    </w:p>
    <w:p w14:paraId="0000024B" w14:textId="77777777" w:rsidR="009D7C1F" w:rsidRDefault="009D7C1F">
      <w:pPr>
        <w:widowControl w:val="0"/>
        <w:pBdr>
          <w:top w:val="nil"/>
          <w:left w:val="nil"/>
          <w:bottom w:val="nil"/>
          <w:right w:val="nil"/>
          <w:between w:val="nil"/>
        </w:pBdr>
        <w:spacing w:line="276" w:lineRule="auto"/>
        <w:rPr>
          <w:rFonts w:ascii="Arial" w:eastAsia="Arial" w:hAnsi="Arial" w:cs="Arial"/>
          <w:i/>
          <w:iCs/>
          <w:sz w:val="16"/>
          <w:szCs w:val="16"/>
        </w:rPr>
      </w:pPr>
    </w:p>
    <w:tbl>
      <w:tblPr>
        <w:tblStyle w:val="a4"/>
        <w:tblW w:w="9406" w:type="dxa"/>
        <w:tblInd w:w="0" w:type="dxa"/>
        <w:tblLayout w:type="fixed"/>
        <w:tblLook w:val="0400" w:firstRow="0" w:lastRow="0" w:firstColumn="0" w:lastColumn="0" w:noHBand="0" w:noVBand="1"/>
      </w:tblPr>
      <w:tblGrid>
        <w:gridCol w:w="5837"/>
        <w:gridCol w:w="3569"/>
      </w:tblGrid>
      <w:tr w:rsidR="009D7C1F" w14:paraId="01D6D679" w14:textId="77777777">
        <w:tc>
          <w:tcPr>
            <w:tcW w:w="5837" w:type="dxa"/>
          </w:tcPr>
          <w:p w14:paraId="0000024C" w14:textId="77777777" w:rsidR="009D7C1F" w:rsidRDefault="00000000">
            <w:pPr>
              <w:rPr>
                <w:rFonts w:ascii="Arial" w:eastAsia="Arial" w:hAnsi="Arial" w:cs="Arial"/>
                <w:sz w:val="16"/>
                <w:szCs w:val="16"/>
              </w:rPr>
            </w:pPr>
            <w:r>
              <w:rPr>
                <w:rFonts w:ascii="Arial" w:eastAsia="Arial" w:hAnsi="Arial" w:cs="Arial"/>
                <w:sz w:val="16"/>
                <w:szCs w:val="16"/>
              </w:rPr>
              <w:t>Proyectó:</w:t>
            </w:r>
          </w:p>
          <w:p w14:paraId="0000024D" w14:textId="77777777" w:rsidR="009D7C1F" w:rsidRDefault="00000000">
            <w:pPr>
              <w:rPr>
                <w:rFonts w:ascii="Arial" w:eastAsia="Arial" w:hAnsi="Arial" w:cs="Arial"/>
                <w:sz w:val="16"/>
                <w:szCs w:val="16"/>
              </w:rPr>
            </w:pPr>
            <w:bookmarkStart w:id="23" w:name="bookmark=id.tpziaxsednb1" w:colFirst="0" w:colLast="0"/>
            <w:bookmarkEnd w:id="23"/>
            <w:r>
              <w:rPr>
                <w:rFonts w:ascii="Arial" w:eastAsia="Arial" w:hAnsi="Arial" w:cs="Arial"/>
                <w:sz w:val="16"/>
                <w:szCs w:val="16"/>
              </w:rPr>
              <w:t xml:space="preserve">     </w:t>
            </w:r>
          </w:p>
          <w:p w14:paraId="0000024E" w14:textId="77777777" w:rsidR="009D7C1F" w:rsidRDefault="009D7C1F">
            <w:pPr>
              <w:rPr>
                <w:rFonts w:ascii="Arial" w:eastAsia="Arial" w:hAnsi="Arial" w:cs="Arial"/>
                <w:sz w:val="16"/>
                <w:szCs w:val="16"/>
              </w:rPr>
            </w:pPr>
          </w:p>
        </w:tc>
        <w:tc>
          <w:tcPr>
            <w:tcW w:w="3569" w:type="dxa"/>
          </w:tcPr>
          <w:p w14:paraId="0000024F" w14:textId="77777777" w:rsidR="009D7C1F" w:rsidRDefault="009D7C1F">
            <w:pPr>
              <w:jc w:val="right"/>
              <w:rPr>
                <w:rFonts w:ascii="Arial" w:eastAsia="Arial" w:hAnsi="Arial" w:cs="Arial"/>
                <w:sz w:val="16"/>
                <w:szCs w:val="16"/>
              </w:rPr>
            </w:pPr>
          </w:p>
          <w:p w14:paraId="00000250" w14:textId="77777777" w:rsidR="009D7C1F" w:rsidRDefault="00000000">
            <w:pPr>
              <w:jc w:val="right"/>
              <w:rPr>
                <w:rFonts w:ascii="Arial" w:eastAsia="Arial" w:hAnsi="Arial" w:cs="Arial"/>
                <w:sz w:val="16"/>
                <w:szCs w:val="16"/>
              </w:rPr>
            </w:pPr>
            <w:bookmarkStart w:id="24" w:name="bookmark=id.py772e7a1ge" w:colFirst="0" w:colLast="0"/>
            <w:bookmarkEnd w:id="24"/>
            <w:r>
              <w:rPr>
                <w:rFonts w:ascii="Arial" w:eastAsia="Arial" w:hAnsi="Arial" w:cs="Arial"/>
                <w:sz w:val="16"/>
                <w:szCs w:val="16"/>
              </w:rPr>
              <w:t xml:space="preserve">      </w:t>
            </w:r>
          </w:p>
          <w:p w14:paraId="00000251" w14:textId="77777777" w:rsidR="009D7C1F" w:rsidRDefault="009D7C1F">
            <w:pPr>
              <w:jc w:val="right"/>
              <w:rPr>
                <w:rFonts w:ascii="Arial" w:eastAsia="Arial" w:hAnsi="Arial" w:cs="Arial"/>
                <w:sz w:val="16"/>
                <w:szCs w:val="16"/>
              </w:rPr>
            </w:pPr>
          </w:p>
        </w:tc>
      </w:tr>
      <w:tr w:rsidR="009D7C1F" w14:paraId="29EE9CCD" w14:textId="77777777">
        <w:tc>
          <w:tcPr>
            <w:tcW w:w="5837" w:type="dxa"/>
          </w:tcPr>
          <w:p w14:paraId="00000252" w14:textId="77777777" w:rsidR="009D7C1F" w:rsidRDefault="00000000">
            <w:pPr>
              <w:rPr>
                <w:rFonts w:ascii="Arial" w:eastAsia="Arial" w:hAnsi="Arial" w:cs="Arial"/>
                <w:sz w:val="16"/>
                <w:szCs w:val="16"/>
              </w:rPr>
            </w:pPr>
            <w:r>
              <w:rPr>
                <w:rFonts w:ascii="Arial" w:eastAsia="Arial" w:hAnsi="Arial" w:cs="Arial"/>
                <w:sz w:val="16"/>
                <w:szCs w:val="16"/>
              </w:rPr>
              <w:t>Revisó:</w:t>
            </w:r>
          </w:p>
          <w:p w14:paraId="00000253" w14:textId="77777777" w:rsidR="009D7C1F" w:rsidRDefault="00000000">
            <w:pPr>
              <w:rPr>
                <w:rFonts w:ascii="Arial" w:eastAsia="Arial" w:hAnsi="Arial" w:cs="Arial"/>
                <w:sz w:val="16"/>
                <w:szCs w:val="16"/>
              </w:rPr>
            </w:pPr>
            <w:bookmarkStart w:id="25" w:name="bookmark=id.rue9p9wisa0e" w:colFirst="0" w:colLast="0"/>
            <w:bookmarkEnd w:id="25"/>
            <w:r>
              <w:rPr>
                <w:rFonts w:ascii="Arial" w:eastAsia="Arial" w:hAnsi="Arial" w:cs="Arial"/>
                <w:sz w:val="16"/>
                <w:szCs w:val="16"/>
              </w:rPr>
              <w:t xml:space="preserve">     </w:t>
            </w:r>
          </w:p>
          <w:p w14:paraId="00000254" w14:textId="77777777" w:rsidR="009D7C1F" w:rsidRDefault="00000000">
            <w:pPr>
              <w:rPr>
                <w:rFonts w:ascii="Arial" w:eastAsia="Arial" w:hAnsi="Arial" w:cs="Arial"/>
                <w:sz w:val="16"/>
                <w:szCs w:val="16"/>
              </w:rPr>
            </w:pPr>
            <w:bookmarkStart w:id="26" w:name="bookmark=id.5i03i7uhn3g5" w:colFirst="0" w:colLast="0"/>
            <w:bookmarkEnd w:id="26"/>
            <w:r>
              <w:rPr>
                <w:rFonts w:ascii="Arial" w:eastAsia="Arial" w:hAnsi="Arial" w:cs="Arial"/>
                <w:sz w:val="16"/>
                <w:szCs w:val="16"/>
              </w:rPr>
              <w:t xml:space="preserve">     </w:t>
            </w:r>
          </w:p>
          <w:p w14:paraId="00000255" w14:textId="77777777" w:rsidR="009D7C1F" w:rsidRDefault="009D7C1F">
            <w:pPr>
              <w:rPr>
                <w:rFonts w:ascii="Arial" w:eastAsia="Arial" w:hAnsi="Arial" w:cs="Arial"/>
                <w:sz w:val="16"/>
                <w:szCs w:val="16"/>
              </w:rPr>
            </w:pPr>
          </w:p>
        </w:tc>
        <w:tc>
          <w:tcPr>
            <w:tcW w:w="3569" w:type="dxa"/>
          </w:tcPr>
          <w:p w14:paraId="00000256" w14:textId="77777777" w:rsidR="009D7C1F" w:rsidRDefault="009D7C1F">
            <w:pPr>
              <w:jc w:val="right"/>
              <w:rPr>
                <w:rFonts w:ascii="Arial" w:eastAsia="Arial" w:hAnsi="Arial" w:cs="Arial"/>
                <w:sz w:val="16"/>
                <w:szCs w:val="16"/>
              </w:rPr>
            </w:pPr>
          </w:p>
          <w:p w14:paraId="00000257" w14:textId="77777777" w:rsidR="009D7C1F" w:rsidRDefault="00000000">
            <w:pPr>
              <w:jc w:val="right"/>
              <w:rPr>
                <w:rFonts w:ascii="Arial" w:eastAsia="Arial" w:hAnsi="Arial" w:cs="Arial"/>
                <w:sz w:val="16"/>
                <w:szCs w:val="16"/>
              </w:rPr>
            </w:pPr>
            <w:bookmarkStart w:id="27" w:name="bookmark=id.br2qli1wvm69" w:colFirst="0" w:colLast="0"/>
            <w:bookmarkEnd w:id="27"/>
            <w:r>
              <w:rPr>
                <w:rFonts w:ascii="Arial" w:eastAsia="Arial" w:hAnsi="Arial" w:cs="Arial"/>
                <w:sz w:val="16"/>
                <w:szCs w:val="16"/>
              </w:rPr>
              <w:t xml:space="preserve">      </w:t>
            </w:r>
          </w:p>
          <w:p w14:paraId="00000258" w14:textId="77777777" w:rsidR="009D7C1F" w:rsidRDefault="00000000">
            <w:pPr>
              <w:jc w:val="right"/>
              <w:rPr>
                <w:rFonts w:ascii="Arial" w:eastAsia="Arial" w:hAnsi="Arial" w:cs="Arial"/>
                <w:sz w:val="16"/>
                <w:szCs w:val="16"/>
              </w:rPr>
            </w:pPr>
            <w:bookmarkStart w:id="28" w:name="bookmark=id.h62ox4ajta6a" w:colFirst="0" w:colLast="0"/>
            <w:bookmarkEnd w:id="28"/>
            <w:r>
              <w:rPr>
                <w:rFonts w:ascii="Arial" w:eastAsia="Arial" w:hAnsi="Arial" w:cs="Arial"/>
                <w:sz w:val="16"/>
                <w:szCs w:val="16"/>
              </w:rPr>
              <w:t xml:space="preserve">      </w:t>
            </w:r>
          </w:p>
          <w:p w14:paraId="00000259" w14:textId="77777777" w:rsidR="009D7C1F" w:rsidRDefault="009D7C1F">
            <w:pPr>
              <w:jc w:val="right"/>
              <w:rPr>
                <w:rFonts w:ascii="Arial" w:eastAsia="Arial" w:hAnsi="Arial" w:cs="Arial"/>
                <w:sz w:val="16"/>
                <w:szCs w:val="16"/>
              </w:rPr>
            </w:pPr>
          </w:p>
        </w:tc>
      </w:tr>
      <w:tr w:rsidR="009D7C1F" w14:paraId="42022AD5" w14:textId="77777777">
        <w:tc>
          <w:tcPr>
            <w:tcW w:w="5837" w:type="dxa"/>
          </w:tcPr>
          <w:p w14:paraId="0000025A" w14:textId="77777777" w:rsidR="009D7C1F" w:rsidRDefault="00000000">
            <w:pPr>
              <w:rPr>
                <w:rFonts w:ascii="Arial" w:eastAsia="Arial" w:hAnsi="Arial" w:cs="Arial"/>
                <w:sz w:val="16"/>
                <w:szCs w:val="16"/>
              </w:rPr>
            </w:pPr>
            <w:r>
              <w:rPr>
                <w:rFonts w:ascii="Arial" w:eastAsia="Arial" w:hAnsi="Arial" w:cs="Arial"/>
                <w:sz w:val="16"/>
                <w:szCs w:val="16"/>
              </w:rPr>
              <w:t>Aprobó:</w:t>
            </w:r>
          </w:p>
          <w:p w14:paraId="0000025B" w14:textId="77777777" w:rsidR="009D7C1F" w:rsidRDefault="00000000">
            <w:pPr>
              <w:rPr>
                <w:rFonts w:ascii="Arial" w:eastAsia="Arial" w:hAnsi="Arial" w:cs="Arial"/>
                <w:sz w:val="16"/>
                <w:szCs w:val="16"/>
              </w:rPr>
            </w:pPr>
            <w:bookmarkStart w:id="29" w:name="bookmark=id.fgolhpjwt5dn" w:colFirst="0" w:colLast="0"/>
            <w:bookmarkEnd w:id="29"/>
            <w:r>
              <w:rPr>
                <w:rFonts w:ascii="Arial" w:eastAsia="Arial" w:hAnsi="Arial" w:cs="Arial"/>
                <w:sz w:val="16"/>
                <w:szCs w:val="16"/>
              </w:rPr>
              <w:t xml:space="preserve">     </w:t>
            </w:r>
          </w:p>
          <w:p w14:paraId="0000025C" w14:textId="77777777" w:rsidR="009D7C1F" w:rsidRDefault="009D7C1F">
            <w:pPr>
              <w:rPr>
                <w:rFonts w:ascii="Arial" w:eastAsia="Arial" w:hAnsi="Arial" w:cs="Arial"/>
                <w:sz w:val="16"/>
                <w:szCs w:val="16"/>
              </w:rPr>
            </w:pPr>
          </w:p>
        </w:tc>
        <w:tc>
          <w:tcPr>
            <w:tcW w:w="3569" w:type="dxa"/>
          </w:tcPr>
          <w:p w14:paraId="0000025D" w14:textId="77777777" w:rsidR="009D7C1F" w:rsidRDefault="009D7C1F">
            <w:pPr>
              <w:jc w:val="right"/>
              <w:rPr>
                <w:rFonts w:ascii="Arial" w:eastAsia="Arial" w:hAnsi="Arial" w:cs="Arial"/>
                <w:sz w:val="16"/>
                <w:szCs w:val="16"/>
              </w:rPr>
            </w:pPr>
          </w:p>
          <w:p w14:paraId="0000025E" w14:textId="77777777" w:rsidR="009D7C1F" w:rsidRDefault="00000000">
            <w:pPr>
              <w:jc w:val="right"/>
              <w:rPr>
                <w:rFonts w:ascii="Arial" w:eastAsia="Arial" w:hAnsi="Arial" w:cs="Arial"/>
                <w:sz w:val="16"/>
                <w:szCs w:val="16"/>
              </w:rPr>
            </w:pPr>
            <w:bookmarkStart w:id="30" w:name="bookmark=id.6hh5k1bm5jxy" w:colFirst="0" w:colLast="0"/>
            <w:bookmarkEnd w:id="30"/>
            <w:r>
              <w:rPr>
                <w:rFonts w:ascii="Arial" w:eastAsia="Arial" w:hAnsi="Arial" w:cs="Arial"/>
                <w:sz w:val="16"/>
                <w:szCs w:val="16"/>
              </w:rPr>
              <w:t xml:space="preserve">      </w:t>
            </w:r>
          </w:p>
          <w:p w14:paraId="0000025F" w14:textId="77777777" w:rsidR="009D7C1F" w:rsidRDefault="009D7C1F">
            <w:pPr>
              <w:jc w:val="right"/>
              <w:rPr>
                <w:rFonts w:ascii="Arial" w:eastAsia="Arial" w:hAnsi="Arial" w:cs="Arial"/>
                <w:sz w:val="16"/>
                <w:szCs w:val="16"/>
              </w:rPr>
            </w:pPr>
          </w:p>
        </w:tc>
      </w:tr>
    </w:tbl>
    <w:p w14:paraId="00000260" w14:textId="77777777" w:rsidR="009D7C1F" w:rsidRDefault="009D7C1F">
      <w:pPr>
        <w:rPr>
          <w:rFonts w:ascii="Arial" w:eastAsia="Arial" w:hAnsi="Arial" w:cs="Arial"/>
          <w:i/>
          <w:iCs/>
          <w:sz w:val="16"/>
          <w:szCs w:val="16"/>
        </w:rPr>
        <w:sectPr w:rsidR="009D7C1F">
          <w:type w:val="continuous"/>
          <w:pgSz w:w="12242" w:h="15842"/>
          <w:pgMar w:top="2268" w:right="1418" w:bottom="2268" w:left="1418" w:header="0" w:footer="0" w:gutter="0"/>
          <w:cols w:space="720"/>
        </w:sectPr>
      </w:pPr>
    </w:p>
    <w:p w14:paraId="00000261" w14:textId="77777777" w:rsidR="009D7C1F" w:rsidRDefault="009D7C1F">
      <w:pPr>
        <w:rPr>
          <w:sz w:val="16"/>
          <w:szCs w:val="16"/>
        </w:rPr>
      </w:pPr>
    </w:p>
    <w:sectPr w:rsidR="009D7C1F">
      <w:type w:val="continuous"/>
      <w:pgSz w:w="12242" w:h="15842"/>
      <w:pgMar w:top="2268" w:right="1418" w:bottom="2268" w:left="1418" w:header="0" w:footer="0"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2" w:author="JOSE HERNAN GARAVITO CALDERON" w:date="2026-03-26T04:23:00Z" w:initials="">
    <w:p w14:paraId="0000027B" w14:textId="77777777" w:rsidR="009D7C1F" w:rsidRDefault="00316336">
      <w:pPr>
        <w:widowControl w:val="0"/>
        <w:pBdr>
          <w:top w:val="nil"/>
          <w:left w:val="nil"/>
          <w:bottom w:val="nil"/>
          <w:right w:val="nil"/>
          <w:between w:val="nil"/>
        </w:pBdr>
        <w:rPr>
          <w:rFonts w:ascii="Arial" w:eastAsia="Arial" w:hAnsi="Arial" w:cs="Arial"/>
          <w:color w:val="000000"/>
          <w:sz w:val="22"/>
          <w:szCs w:val="22"/>
        </w:rPr>
      </w:pPr>
      <w:r>
        <w:rPr>
          <w:rStyle w:val="Refdecomentario"/>
        </w:rPr>
        <w:annotationRef/>
      </w:r>
      <w:r w:rsidR="00000000">
        <w:rPr>
          <w:rFonts w:ascii="Arial" w:eastAsia="Arial" w:hAnsi="Arial" w:cs="Arial"/>
          <w:color w:val="000000"/>
          <w:sz w:val="22"/>
          <w:szCs w:val="22"/>
        </w:rPr>
        <w:t>Se completaron respuestas desde RedAire.</w:t>
      </w:r>
    </w:p>
  </w:comment>
  <w:comment w:id="3" w:author="JOSE HERNAN GARAVITO CALDERON" w:date="2026-03-25T17:22:00Z" w:initials="">
    <w:p w14:paraId="0000026F" w14:textId="77777777" w:rsidR="009D7C1F" w:rsidRDefault="00316336">
      <w:pPr>
        <w:widowControl w:val="0"/>
        <w:pBdr>
          <w:top w:val="nil"/>
          <w:left w:val="nil"/>
          <w:bottom w:val="nil"/>
          <w:right w:val="nil"/>
          <w:between w:val="nil"/>
        </w:pBdr>
        <w:rPr>
          <w:rFonts w:ascii="Arial" w:eastAsia="Arial" w:hAnsi="Arial" w:cs="Arial"/>
          <w:color w:val="000000"/>
          <w:sz w:val="22"/>
          <w:szCs w:val="22"/>
        </w:rPr>
      </w:pPr>
      <w:r>
        <w:rPr>
          <w:rStyle w:val="Refdecomentario"/>
        </w:rPr>
        <w:annotationRef/>
      </w:r>
      <w:r w:rsidR="00000000">
        <w:rPr>
          <w:rFonts w:ascii="Arial" w:eastAsia="Arial" w:hAnsi="Arial" w:cs="Arial"/>
          <w:color w:val="000000"/>
          <w:sz w:val="22"/>
          <w:szCs w:val="22"/>
        </w:rPr>
        <w:t>@karen.ballesteros@ambientebogota.gov.co porfavor incluir información de fuentes de emisión de PM10.</w:t>
      </w:r>
    </w:p>
    <w:p w14:paraId="00000270" w14:textId="77777777" w:rsidR="009D7C1F" w:rsidRDefault="00000000">
      <w:pPr>
        <w:widowControl w:val="0"/>
        <w:pBdr>
          <w:top w:val="nil"/>
          <w:left w:val="nil"/>
          <w:bottom w:val="nil"/>
          <w:right w:val="nil"/>
          <w:between w:val="nil"/>
        </w:pBdr>
        <w:rPr>
          <w:rFonts w:ascii="Arial" w:eastAsia="Arial" w:hAnsi="Arial" w:cs="Arial"/>
          <w:color w:val="000000"/>
          <w:sz w:val="22"/>
          <w:szCs w:val="22"/>
        </w:rPr>
      </w:pPr>
      <w:r>
        <w:rPr>
          <w:rFonts w:ascii="Arial" w:eastAsia="Arial" w:hAnsi="Arial" w:cs="Arial"/>
          <w:color w:val="000000"/>
          <w:sz w:val="22"/>
          <w:szCs w:val="22"/>
        </w:rPr>
        <w:t>_Asignado a karen.ballesteros@ambientebogota.gov.co_</w:t>
      </w:r>
    </w:p>
  </w:comment>
  <w:comment w:id="4" w:author="KAREN BALLESTEROS GONZALEZ" w:date="2026-03-25T19:33:00Z" w:initials="">
    <w:p w14:paraId="00000271" w14:textId="77777777" w:rsidR="009D7C1F" w:rsidRDefault="00316336">
      <w:pPr>
        <w:widowControl w:val="0"/>
        <w:pBdr>
          <w:top w:val="nil"/>
          <w:left w:val="nil"/>
          <w:bottom w:val="nil"/>
          <w:right w:val="nil"/>
          <w:between w:val="nil"/>
        </w:pBdr>
        <w:rPr>
          <w:rFonts w:ascii="Arial" w:eastAsia="Arial" w:hAnsi="Arial" w:cs="Arial"/>
          <w:color w:val="000000"/>
          <w:sz w:val="22"/>
          <w:szCs w:val="22"/>
        </w:rPr>
      </w:pPr>
      <w:r>
        <w:rPr>
          <w:rStyle w:val="Refdecomentario"/>
        </w:rPr>
        <w:annotationRef/>
      </w:r>
      <w:r w:rsidR="00000000">
        <w:rPr>
          <w:rFonts w:ascii="Arial" w:eastAsia="Arial" w:hAnsi="Arial" w:cs="Arial"/>
          <w:color w:val="000000"/>
          <w:sz w:val="22"/>
          <w:szCs w:val="22"/>
        </w:rPr>
        <w:t>Se da respuesta a este punto desde inventario.</w:t>
      </w:r>
    </w:p>
  </w:comment>
  <w:comment w:id="5" w:author="JOSE HERNAN GARAVITO CALDERON" w:date="2026-03-25T17:23:00Z" w:initials="">
    <w:p w14:paraId="0000027C" w14:textId="77777777" w:rsidR="009D7C1F" w:rsidRDefault="00316336">
      <w:pPr>
        <w:widowControl w:val="0"/>
        <w:pBdr>
          <w:top w:val="nil"/>
          <w:left w:val="nil"/>
          <w:bottom w:val="nil"/>
          <w:right w:val="nil"/>
          <w:between w:val="nil"/>
        </w:pBdr>
        <w:rPr>
          <w:rFonts w:ascii="Arial" w:eastAsia="Arial" w:hAnsi="Arial" w:cs="Arial"/>
          <w:color w:val="000000"/>
          <w:sz w:val="22"/>
          <w:szCs w:val="22"/>
        </w:rPr>
      </w:pPr>
      <w:r>
        <w:rPr>
          <w:rStyle w:val="Refdecomentario"/>
        </w:rPr>
        <w:annotationRef/>
      </w:r>
      <w:r w:rsidR="00000000">
        <w:rPr>
          <w:rFonts w:ascii="Arial" w:eastAsia="Arial" w:hAnsi="Arial" w:cs="Arial"/>
          <w:color w:val="000000"/>
          <w:sz w:val="22"/>
          <w:szCs w:val="22"/>
        </w:rPr>
        <w:t>@mauricio.gaitan@ambientebogota.gov.co por favor incluir desde Plan Aire acciones para mitigacion de PM10</w:t>
      </w:r>
    </w:p>
    <w:p w14:paraId="0000027D" w14:textId="77777777" w:rsidR="009D7C1F" w:rsidRDefault="00000000">
      <w:pPr>
        <w:widowControl w:val="0"/>
        <w:pBdr>
          <w:top w:val="nil"/>
          <w:left w:val="nil"/>
          <w:bottom w:val="nil"/>
          <w:right w:val="nil"/>
          <w:between w:val="nil"/>
        </w:pBdr>
        <w:rPr>
          <w:rFonts w:ascii="Arial" w:eastAsia="Arial" w:hAnsi="Arial" w:cs="Arial"/>
          <w:color w:val="000000"/>
          <w:sz w:val="22"/>
          <w:szCs w:val="22"/>
        </w:rPr>
      </w:pPr>
      <w:r>
        <w:rPr>
          <w:rFonts w:ascii="Arial" w:eastAsia="Arial" w:hAnsi="Arial" w:cs="Arial"/>
          <w:color w:val="000000"/>
          <w:sz w:val="22"/>
          <w:szCs w:val="22"/>
        </w:rPr>
        <w:t>_Asignado a mauricio.gaitan@ambientebogota.gov.co_</w:t>
      </w:r>
    </w:p>
  </w:comment>
  <w:comment w:id="6" w:author="ELIZABETH RODRIGUEZ SERRANO" w:date="2026-03-25T14:33:00Z" w:initials="">
    <w:p w14:paraId="00000278" w14:textId="77777777" w:rsidR="009D7C1F" w:rsidRDefault="00316336">
      <w:pPr>
        <w:widowControl w:val="0"/>
        <w:pBdr>
          <w:top w:val="nil"/>
          <w:left w:val="nil"/>
          <w:bottom w:val="nil"/>
          <w:right w:val="nil"/>
          <w:between w:val="nil"/>
        </w:pBdr>
        <w:rPr>
          <w:rFonts w:ascii="Arial" w:eastAsia="Arial" w:hAnsi="Arial" w:cs="Arial"/>
          <w:color w:val="000000"/>
          <w:sz w:val="22"/>
          <w:szCs w:val="22"/>
        </w:rPr>
      </w:pPr>
      <w:r>
        <w:rPr>
          <w:rStyle w:val="Refdecomentario"/>
        </w:rPr>
        <w:annotationRef/>
      </w:r>
      <w:r w:rsidR="00000000">
        <w:rPr>
          <w:rFonts w:ascii="Arial" w:eastAsia="Arial" w:hAnsi="Arial" w:cs="Arial"/>
          <w:color w:val="000000"/>
          <w:sz w:val="22"/>
          <w:szCs w:val="22"/>
        </w:rPr>
        <w:t>@jose.garavito@ambientebogota.gov.co Cordial saludo, por favor responder desde su competencia.</w:t>
      </w:r>
    </w:p>
  </w:comment>
  <w:comment w:id="7" w:author="JOSE HERNAN GARAVITO CALDERON" w:date="2026-03-26T04:22:00Z" w:initials="">
    <w:p w14:paraId="00000279" w14:textId="77777777" w:rsidR="009D7C1F" w:rsidRDefault="00316336">
      <w:pPr>
        <w:widowControl w:val="0"/>
        <w:pBdr>
          <w:top w:val="nil"/>
          <w:left w:val="nil"/>
          <w:bottom w:val="nil"/>
          <w:right w:val="nil"/>
          <w:between w:val="nil"/>
        </w:pBdr>
        <w:rPr>
          <w:rFonts w:ascii="Arial" w:eastAsia="Arial" w:hAnsi="Arial" w:cs="Arial"/>
          <w:color w:val="000000"/>
          <w:sz w:val="22"/>
          <w:szCs w:val="22"/>
        </w:rPr>
      </w:pPr>
      <w:r>
        <w:rPr>
          <w:rStyle w:val="Refdecomentario"/>
        </w:rPr>
        <w:annotationRef/>
      </w:r>
      <w:r w:rsidR="00000000">
        <w:rPr>
          <w:rFonts w:ascii="Arial" w:eastAsia="Arial" w:hAnsi="Arial" w:cs="Arial"/>
          <w:color w:val="000000"/>
          <w:sz w:val="22"/>
          <w:szCs w:val="22"/>
        </w:rPr>
        <w:t>Se completaron respuestas desde la RedAire.</w:t>
      </w:r>
    </w:p>
  </w:comment>
  <w:comment w:id="8" w:author="JOSE HERNAN GARAVITO CALDERON" w:date="2026-03-25T17:23:00Z" w:initials="">
    <w:p w14:paraId="00000272" w14:textId="77777777" w:rsidR="009D7C1F" w:rsidRDefault="00316336">
      <w:pPr>
        <w:widowControl w:val="0"/>
        <w:pBdr>
          <w:top w:val="nil"/>
          <w:left w:val="nil"/>
          <w:bottom w:val="nil"/>
          <w:right w:val="nil"/>
          <w:between w:val="nil"/>
        </w:pBdr>
        <w:rPr>
          <w:rFonts w:ascii="Arial" w:eastAsia="Arial" w:hAnsi="Arial" w:cs="Arial"/>
          <w:color w:val="000000"/>
          <w:sz w:val="22"/>
          <w:szCs w:val="22"/>
        </w:rPr>
      </w:pPr>
      <w:r>
        <w:rPr>
          <w:rStyle w:val="Refdecomentario"/>
        </w:rPr>
        <w:annotationRef/>
      </w:r>
      <w:r w:rsidR="00000000">
        <w:rPr>
          <w:rFonts w:ascii="Arial" w:eastAsia="Arial" w:hAnsi="Arial" w:cs="Arial"/>
          <w:color w:val="000000"/>
          <w:sz w:val="22"/>
          <w:szCs w:val="22"/>
        </w:rPr>
        <w:t>@karen.ballesteros@ambientebogota.gov.co porfavor incluir información de fuentes de emisión de PM2.5.</w:t>
      </w:r>
    </w:p>
    <w:p w14:paraId="00000273" w14:textId="77777777" w:rsidR="009D7C1F" w:rsidRDefault="00000000">
      <w:pPr>
        <w:widowControl w:val="0"/>
        <w:pBdr>
          <w:top w:val="nil"/>
          <w:left w:val="nil"/>
          <w:bottom w:val="nil"/>
          <w:right w:val="nil"/>
          <w:between w:val="nil"/>
        </w:pBdr>
        <w:rPr>
          <w:rFonts w:ascii="Arial" w:eastAsia="Arial" w:hAnsi="Arial" w:cs="Arial"/>
          <w:color w:val="000000"/>
          <w:sz w:val="22"/>
          <w:szCs w:val="22"/>
        </w:rPr>
      </w:pPr>
      <w:r>
        <w:rPr>
          <w:rFonts w:ascii="Arial" w:eastAsia="Arial" w:hAnsi="Arial" w:cs="Arial"/>
          <w:color w:val="000000"/>
          <w:sz w:val="22"/>
          <w:szCs w:val="22"/>
        </w:rPr>
        <w:t>_Asignado a karen.ballesteros@ambientebogota.gov.co_</w:t>
      </w:r>
    </w:p>
  </w:comment>
  <w:comment w:id="9" w:author="KAREN BALLESTEROS GONZALEZ" w:date="2026-03-25T19:33:00Z" w:initials="">
    <w:p w14:paraId="00000274" w14:textId="77777777" w:rsidR="009D7C1F" w:rsidRDefault="00316336">
      <w:pPr>
        <w:widowControl w:val="0"/>
        <w:pBdr>
          <w:top w:val="nil"/>
          <w:left w:val="nil"/>
          <w:bottom w:val="nil"/>
          <w:right w:val="nil"/>
          <w:between w:val="nil"/>
        </w:pBdr>
        <w:rPr>
          <w:rFonts w:ascii="Arial" w:eastAsia="Arial" w:hAnsi="Arial" w:cs="Arial"/>
          <w:color w:val="000000"/>
          <w:sz w:val="22"/>
          <w:szCs w:val="22"/>
        </w:rPr>
      </w:pPr>
      <w:r>
        <w:rPr>
          <w:rStyle w:val="Refdecomentario"/>
        </w:rPr>
        <w:annotationRef/>
      </w:r>
      <w:r w:rsidR="00000000">
        <w:rPr>
          <w:rFonts w:ascii="Arial" w:eastAsia="Arial" w:hAnsi="Arial" w:cs="Arial"/>
          <w:color w:val="000000"/>
          <w:sz w:val="22"/>
          <w:szCs w:val="22"/>
        </w:rPr>
        <w:t>Se da respuesta a este punto desde inventario.</w:t>
      </w:r>
    </w:p>
  </w:comment>
  <w:comment w:id="10" w:author="JOSE HERNAN GARAVITO CALDERON" w:date="2026-03-25T17:24:00Z" w:initials="">
    <w:p w14:paraId="0000027F" w14:textId="77777777" w:rsidR="009D7C1F" w:rsidRDefault="00316336">
      <w:pPr>
        <w:widowControl w:val="0"/>
        <w:pBdr>
          <w:top w:val="nil"/>
          <w:left w:val="nil"/>
          <w:bottom w:val="nil"/>
          <w:right w:val="nil"/>
          <w:between w:val="nil"/>
        </w:pBdr>
        <w:rPr>
          <w:rFonts w:ascii="Arial" w:eastAsia="Arial" w:hAnsi="Arial" w:cs="Arial"/>
          <w:color w:val="000000"/>
          <w:sz w:val="22"/>
          <w:szCs w:val="22"/>
        </w:rPr>
      </w:pPr>
      <w:r>
        <w:rPr>
          <w:rStyle w:val="Refdecomentario"/>
        </w:rPr>
        <w:annotationRef/>
      </w:r>
      <w:r w:rsidR="00000000">
        <w:rPr>
          <w:rFonts w:ascii="Arial" w:eastAsia="Arial" w:hAnsi="Arial" w:cs="Arial"/>
          <w:color w:val="000000"/>
          <w:sz w:val="22"/>
          <w:szCs w:val="22"/>
        </w:rPr>
        <w:t>@mauricio.gaitan@ambientebogota.gov.co por favor incluir desde Plan Aire acciones para mitigacion de PM2.5</w:t>
      </w:r>
    </w:p>
    <w:p w14:paraId="00000280" w14:textId="77777777" w:rsidR="009D7C1F" w:rsidRDefault="00000000">
      <w:pPr>
        <w:widowControl w:val="0"/>
        <w:pBdr>
          <w:top w:val="nil"/>
          <w:left w:val="nil"/>
          <w:bottom w:val="nil"/>
          <w:right w:val="nil"/>
          <w:between w:val="nil"/>
        </w:pBdr>
        <w:rPr>
          <w:rFonts w:ascii="Arial" w:eastAsia="Arial" w:hAnsi="Arial" w:cs="Arial"/>
          <w:color w:val="000000"/>
          <w:sz w:val="22"/>
          <w:szCs w:val="22"/>
        </w:rPr>
      </w:pPr>
      <w:r>
        <w:rPr>
          <w:rFonts w:ascii="Arial" w:eastAsia="Arial" w:hAnsi="Arial" w:cs="Arial"/>
          <w:color w:val="000000"/>
          <w:sz w:val="22"/>
          <w:szCs w:val="22"/>
        </w:rPr>
        <w:t>_Asignado a mauricio.gaitan@ambientebogota.gov.co_</w:t>
      </w:r>
    </w:p>
  </w:comment>
  <w:comment w:id="11" w:author="JOSE HERNAN GARAVITO CALDERON" w:date="2026-03-26T04:23:00Z" w:initials="">
    <w:p w14:paraId="00000284" w14:textId="77777777" w:rsidR="009D7C1F" w:rsidRDefault="00316336">
      <w:pPr>
        <w:widowControl w:val="0"/>
        <w:pBdr>
          <w:top w:val="nil"/>
          <w:left w:val="nil"/>
          <w:bottom w:val="nil"/>
          <w:right w:val="nil"/>
          <w:between w:val="nil"/>
        </w:pBdr>
        <w:rPr>
          <w:rFonts w:ascii="Arial" w:eastAsia="Arial" w:hAnsi="Arial" w:cs="Arial"/>
          <w:color w:val="000000"/>
          <w:sz w:val="22"/>
          <w:szCs w:val="22"/>
        </w:rPr>
      </w:pPr>
      <w:r>
        <w:rPr>
          <w:rStyle w:val="Refdecomentario"/>
        </w:rPr>
        <w:annotationRef/>
      </w:r>
      <w:r w:rsidR="00000000">
        <w:rPr>
          <w:rFonts w:ascii="Arial" w:eastAsia="Arial" w:hAnsi="Arial" w:cs="Arial"/>
          <w:color w:val="000000"/>
          <w:sz w:val="22"/>
          <w:szCs w:val="22"/>
        </w:rPr>
        <w:t>Se completaron respuestas desde RedAire.</w:t>
      </w:r>
    </w:p>
  </w:comment>
  <w:comment w:id="12" w:author="JOSE HERNAN GARAVITO CALDERON" w:date="2026-03-24T16:07:00Z" w:initials="">
    <w:p w14:paraId="0000026E" w14:textId="77777777" w:rsidR="009D7C1F" w:rsidRDefault="00316336">
      <w:pPr>
        <w:widowControl w:val="0"/>
        <w:pBdr>
          <w:top w:val="nil"/>
          <w:left w:val="nil"/>
          <w:bottom w:val="nil"/>
          <w:right w:val="nil"/>
          <w:between w:val="nil"/>
        </w:pBdr>
        <w:rPr>
          <w:rFonts w:ascii="Arial" w:eastAsia="Arial" w:hAnsi="Arial" w:cs="Arial"/>
          <w:color w:val="000000"/>
          <w:sz w:val="22"/>
          <w:szCs w:val="22"/>
        </w:rPr>
      </w:pPr>
      <w:r>
        <w:rPr>
          <w:rStyle w:val="Refdecomentario"/>
        </w:rPr>
        <w:annotationRef/>
      </w:r>
      <w:r w:rsidR="00000000">
        <w:rPr>
          <w:rFonts w:ascii="Arial" w:eastAsia="Arial" w:hAnsi="Arial" w:cs="Arial"/>
          <w:color w:val="000000"/>
          <w:sz w:val="22"/>
          <w:szCs w:val="22"/>
        </w:rPr>
        <w:t>Consultar con subdirección de silvicultura, esta dependencia tiene resultados a este respecto, dado que está muy relacionado con el arbolado urbano.</w:t>
      </w:r>
    </w:p>
  </w:comment>
  <w:comment w:id="13" w:author="JOSE HERNAN GARAVITO CALDERON" w:date="2026-03-24T16:08:00Z" w:initials="">
    <w:p w14:paraId="00000276" w14:textId="77777777" w:rsidR="009D7C1F" w:rsidRDefault="00316336">
      <w:pPr>
        <w:widowControl w:val="0"/>
        <w:pBdr>
          <w:top w:val="nil"/>
          <w:left w:val="nil"/>
          <w:bottom w:val="nil"/>
          <w:right w:val="nil"/>
          <w:between w:val="nil"/>
        </w:pBdr>
        <w:rPr>
          <w:rFonts w:ascii="Arial" w:eastAsia="Arial" w:hAnsi="Arial" w:cs="Arial"/>
          <w:color w:val="000000"/>
          <w:sz w:val="22"/>
          <w:szCs w:val="22"/>
        </w:rPr>
      </w:pPr>
      <w:r>
        <w:rPr>
          <w:rStyle w:val="Refdecomentario"/>
        </w:rPr>
        <w:annotationRef/>
      </w:r>
      <w:r w:rsidR="00000000">
        <w:rPr>
          <w:rFonts w:ascii="Arial" w:eastAsia="Arial" w:hAnsi="Arial" w:cs="Arial"/>
          <w:color w:val="000000"/>
          <w:sz w:val="22"/>
          <w:szCs w:val="22"/>
        </w:rPr>
        <w:t>@Luisavellaneda1105@gmail.com proyectar respuesta. Presentar datos por estación y promedio de ciudad.</w:t>
      </w:r>
    </w:p>
    <w:p w14:paraId="00000277" w14:textId="77777777" w:rsidR="009D7C1F" w:rsidRDefault="00000000">
      <w:pPr>
        <w:widowControl w:val="0"/>
        <w:pBdr>
          <w:top w:val="nil"/>
          <w:left w:val="nil"/>
          <w:bottom w:val="nil"/>
          <w:right w:val="nil"/>
          <w:between w:val="nil"/>
        </w:pBdr>
        <w:rPr>
          <w:rFonts w:ascii="Arial" w:eastAsia="Arial" w:hAnsi="Arial" w:cs="Arial"/>
          <w:color w:val="000000"/>
          <w:sz w:val="22"/>
          <w:szCs w:val="22"/>
        </w:rPr>
      </w:pPr>
      <w:r>
        <w:rPr>
          <w:rFonts w:ascii="Arial" w:eastAsia="Arial" w:hAnsi="Arial" w:cs="Arial"/>
          <w:color w:val="000000"/>
          <w:sz w:val="22"/>
          <w:szCs w:val="22"/>
        </w:rPr>
        <w:t>_Asignado a Luisavellaneda1105@gmail.com_</w:t>
      </w:r>
    </w:p>
  </w:comment>
  <w:comment w:id="14" w:author="JOSE HERNAN GARAVITO CALDERON" w:date="2026-03-24T16:10:00Z" w:initials="">
    <w:p w14:paraId="00000285" w14:textId="77777777" w:rsidR="009D7C1F" w:rsidRDefault="00316336">
      <w:pPr>
        <w:widowControl w:val="0"/>
        <w:pBdr>
          <w:top w:val="nil"/>
          <w:left w:val="nil"/>
          <w:bottom w:val="nil"/>
          <w:right w:val="nil"/>
          <w:between w:val="nil"/>
        </w:pBdr>
        <w:rPr>
          <w:rFonts w:ascii="Arial" w:eastAsia="Arial" w:hAnsi="Arial" w:cs="Arial"/>
          <w:color w:val="000000"/>
          <w:sz w:val="22"/>
          <w:szCs w:val="22"/>
        </w:rPr>
      </w:pPr>
      <w:r>
        <w:rPr>
          <w:rStyle w:val="Refdecomentario"/>
        </w:rPr>
        <w:annotationRef/>
      </w:r>
      <w:r w:rsidR="00000000">
        <w:rPr>
          <w:rFonts w:ascii="Arial" w:eastAsia="Arial" w:hAnsi="Arial" w:cs="Arial"/>
          <w:color w:val="000000"/>
          <w:sz w:val="22"/>
          <w:szCs w:val="22"/>
        </w:rPr>
        <w:t>@Luisavellaneda1105@gmail.com proyectar respuesta. Presentar datos por estación y promedio de ciudad.</w:t>
      </w:r>
    </w:p>
    <w:p w14:paraId="00000286" w14:textId="77777777" w:rsidR="009D7C1F" w:rsidRDefault="00000000">
      <w:pPr>
        <w:widowControl w:val="0"/>
        <w:pBdr>
          <w:top w:val="nil"/>
          <w:left w:val="nil"/>
          <w:bottom w:val="nil"/>
          <w:right w:val="nil"/>
          <w:between w:val="nil"/>
        </w:pBdr>
        <w:rPr>
          <w:rFonts w:ascii="Arial" w:eastAsia="Arial" w:hAnsi="Arial" w:cs="Arial"/>
          <w:color w:val="000000"/>
          <w:sz w:val="22"/>
          <w:szCs w:val="22"/>
        </w:rPr>
      </w:pPr>
      <w:r>
        <w:rPr>
          <w:rFonts w:ascii="Arial" w:eastAsia="Arial" w:hAnsi="Arial" w:cs="Arial"/>
          <w:color w:val="000000"/>
          <w:sz w:val="22"/>
          <w:szCs w:val="22"/>
        </w:rPr>
        <w:t>_Asignado a Luisavellaneda1105@gmail.com_</w:t>
      </w:r>
    </w:p>
  </w:comment>
  <w:comment w:id="15" w:author="JOSE HERNAN GARAVITO CALDERON" w:date="2026-03-24T16:11:00Z" w:initials="">
    <w:p w14:paraId="0000027E" w14:textId="77777777" w:rsidR="009D7C1F" w:rsidRDefault="00316336">
      <w:pPr>
        <w:widowControl w:val="0"/>
        <w:pBdr>
          <w:top w:val="nil"/>
          <w:left w:val="nil"/>
          <w:bottom w:val="nil"/>
          <w:right w:val="nil"/>
          <w:between w:val="nil"/>
        </w:pBdr>
        <w:rPr>
          <w:rFonts w:ascii="Arial" w:eastAsia="Arial" w:hAnsi="Arial" w:cs="Arial"/>
          <w:color w:val="000000"/>
          <w:sz w:val="22"/>
          <w:szCs w:val="22"/>
        </w:rPr>
      </w:pPr>
      <w:r>
        <w:rPr>
          <w:rStyle w:val="Refdecomentario"/>
        </w:rPr>
        <w:annotationRef/>
      </w:r>
      <w:r w:rsidR="00000000">
        <w:rPr>
          <w:rFonts w:ascii="Arial" w:eastAsia="Arial" w:hAnsi="Arial" w:cs="Arial"/>
          <w:color w:val="000000"/>
          <w:sz w:val="22"/>
          <w:szCs w:val="22"/>
        </w:rPr>
        <w:t>Consultar con subdirección de silvicultura</w:t>
      </w:r>
    </w:p>
  </w:comment>
  <w:comment w:id="16" w:author="JOSE HERNAN GARAVITO CALDERON" w:date="2026-03-24T16:12:00Z" w:initials="">
    <w:p w14:paraId="0000027A" w14:textId="77777777" w:rsidR="009D7C1F" w:rsidRDefault="00316336">
      <w:pPr>
        <w:widowControl w:val="0"/>
        <w:pBdr>
          <w:top w:val="nil"/>
          <w:left w:val="nil"/>
          <w:bottom w:val="nil"/>
          <w:right w:val="nil"/>
          <w:between w:val="nil"/>
        </w:pBdr>
        <w:rPr>
          <w:rFonts w:ascii="Arial" w:eastAsia="Arial" w:hAnsi="Arial" w:cs="Arial"/>
          <w:color w:val="000000"/>
          <w:sz w:val="22"/>
          <w:szCs w:val="22"/>
        </w:rPr>
      </w:pPr>
      <w:r>
        <w:rPr>
          <w:rStyle w:val="Refdecomentario"/>
        </w:rPr>
        <w:annotationRef/>
      </w:r>
      <w:r w:rsidR="00000000">
        <w:rPr>
          <w:rFonts w:ascii="Arial" w:eastAsia="Arial" w:hAnsi="Arial" w:cs="Arial"/>
          <w:color w:val="000000"/>
          <w:sz w:val="22"/>
          <w:szCs w:val="22"/>
        </w:rPr>
        <w:t>Consultar con subdirección de silvicultura</w:t>
      </w:r>
    </w:p>
  </w:comment>
  <w:comment w:id="17" w:author="JOSE HERNAN GARAVITO CALDERON" w:date="2026-03-24T16:13:00Z" w:initials="">
    <w:p w14:paraId="00000275" w14:textId="77777777" w:rsidR="009D7C1F" w:rsidRDefault="00316336">
      <w:pPr>
        <w:widowControl w:val="0"/>
        <w:pBdr>
          <w:top w:val="nil"/>
          <w:left w:val="nil"/>
          <w:bottom w:val="nil"/>
          <w:right w:val="nil"/>
          <w:between w:val="nil"/>
        </w:pBdr>
        <w:rPr>
          <w:rFonts w:ascii="Arial" w:eastAsia="Arial" w:hAnsi="Arial" w:cs="Arial"/>
          <w:color w:val="000000"/>
          <w:sz w:val="22"/>
          <w:szCs w:val="22"/>
        </w:rPr>
      </w:pPr>
      <w:r>
        <w:rPr>
          <w:rStyle w:val="Refdecomentario"/>
        </w:rPr>
        <w:annotationRef/>
      </w:r>
      <w:r w:rsidR="00000000">
        <w:rPr>
          <w:rFonts w:ascii="Arial" w:eastAsia="Arial" w:hAnsi="Arial" w:cs="Arial"/>
          <w:color w:val="000000"/>
          <w:sz w:val="22"/>
          <w:szCs w:val="22"/>
        </w:rPr>
        <w:t>Trasladar a Secretaría Distrital de Salud.</w:t>
      </w:r>
    </w:p>
  </w:comment>
  <w:comment w:id="18" w:author="JOSE HERNAN GARAVITO CALDERON" w:date="2026-03-24T16:13:00Z" w:initials="">
    <w:p w14:paraId="0000026D" w14:textId="77777777" w:rsidR="009D7C1F" w:rsidRDefault="00316336">
      <w:pPr>
        <w:widowControl w:val="0"/>
        <w:pBdr>
          <w:top w:val="nil"/>
          <w:left w:val="nil"/>
          <w:bottom w:val="nil"/>
          <w:right w:val="nil"/>
          <w:between w:val="nil"/>
        </w:pBdr>
        <w:rPr>
          <w:rFonts w:ascii="Arial" w:eastAsia="Arial" w:hAnsi="Arial" w:cs="Arial"/>
          <w:color w:val="000000"/>
          <w:sz w:val="22"/>
          <w:szCs w:val="22"/>
        </w:rPr>
      </w:pPr>
      <w:r>
        <w:rPr>
          <w:rStyle w:val="Refdecomentario"/>
        </w:rPr>
        <w:annotationRef/>
      </w:r>
      <w:r w:rsidR="00000000">
        <w:rPr>
          <w:rFonts w:ascii="Arial" w:eastAsia="Arial" w:hAnsi="Arial" w:cs="Arial"/>
          <w:color w:val="000000"/>
          <w:sz w:val="22"/>
          <w:szCs w:val="22"/>
        </w:rPr>
        <w:t>Responsable cambio climático.</w:t>
      </w:r>
    </w:p>
  </w:comment>
  <w:comment w:id="19" w:author="ANA MILENA HERNANDEZ QUINCHARA" w:date="2026-03-24T13:57:00Z" w:initials="">
    <w:p w14:paraId="00000281" w14:textId="77777777" w:rsidR="009D7C1F" w:rsidRDefault="00316336">
      <w:pPr>
        <w:widowControl w:val="0"/>
        <w:pBdr>
          <w:top w:val="nil"/>
          <w:left w:val="nil"/>
          <w:bottom w:val="nil"/>
          <w:right w:val="nil"/>
          <w:between w:val="nil"/>
        </w:pBdr>
        <w:rPr>
          <w:rFonts w:ascii="Arial" w:eastAsia="Arial" w:hAnsi="Arial" w:cs="Arial"/>
          <w:color w:val="000000"/>
          <w:sz w:val="22"/>
          <w:szCs w:val="22"/>
        </w:rPr>
      </w:pPr>
      <w:r>
        <w:rPr>
          <w:rStyle w:val="Refdecomentario"/>
        </w:rPr>
        <w:annotationRef/>
      </w:r>
      <w:r w:rsidR="00000000">
        <w:rPr>
          <w:rFonts w:ascii="Arial" w:eastAsia="Arial" w:hAnsi="Arial" w:cs="Arial"/>
          <w:color w:val="000000"/>
          <w:sz w:val="22"/>
          <w:szCs w:val="22"/>
        </w:rPr>
        <w:t>@lvalentinac_28@hotmail.com @cesar.geney@ambientebogota.gov.co  por favor proyectar respuesta</w:t>
      </w:r>
    </w:p>
    <w:p w14:paraId="00000282" w14:textId="77777777" w:rsidR="009D7C1F" w:rsidRDefault="00000000">
      <w:pPr>
        <w:widowControl w:val="0"/>
        <w:pBdr>
          <w:top w:val="nil"/>
          <w:left w:val="nil"/>
          <w:bottom w:val="nil"/>
          <w:right w:val="nil"/>
          <w:between w:val="nil"/>
        </w:pBdr>
        <w:rPr>
          <w:rFonts w:ascii="Arial" w:eastAsia="Arial" w:hAnsi="Arial" w:cs="Arial"/>
          <w:color w:val="000000"/>
          <w:sz w:val="22"/>
          <w:szCs w:val="22"/>
        </w:rPr>
      </w:pPr>
      <w:r>
        <w:rPr>
          <w:rFonts w:ascii="Arial" w:eastAsia="Arial" w:hAnsi="Arial" w:cs="Arial"/>
          <w:color w:val="000000"/>
          <w:sz w:val="22"/>
          <w:szCs w:val="22"/>
        </w:rPr>
        <w:t>_Asignado a lvalentinac_28@hotmail.com_</w:t>
      </w:r>
    </w:p>
  </w:comment>
  <w:comment w:id="20" w:author="CESAR ALEJANDRO GENEY CELIS" w:date="2026-03-26T11:35:00Z" w:initials="">
    <w:p w14:paraId="00000283" w14:textId="77777777" w:rsidR="009D7C1F" w:rsidRDefault="00316336">
      <w:pPr>
        <w:widowControl w:val="0"/>
        <w:pBdr>
          <w:top w:val="nil"/>
          <w:left w:val="nil"/>
          <w:bottom w:val="nil"/>
          <w:right w:val="nil"/>
          <w:between w:val="nil"/>
        </w:pBdr>
        <w:rPr>
          <w:rFonts w:ascii="Arial" w:eastAsia="Arial" w:hAnsi="Arial" w:cs="Arial"/>
          <w:color w:val="000000"/>
          <w:sz w:val="22"/>
          <w:szCs w:val="22"/>
        </w:rPr>
      </w:pPr>
      <w:r>
        <w:rPr>
          <w:rStyle w:val="Refdecomentario"/>
        </w:rPr>
        <w:annotationRef/>
      </w:r>
      <w:r w:rsidR="00000000">
        <w:rPr>
          <w:rFonts w:ascii="Arial" w:eastAsia="Arial" w:hAnsi="Arial" w:cs="Arial"/>
          <w:color w:val="000000"/>
          <w:sz w:val="22"/>
          <w:szCs w:val="22"/>
        </w:rPr>
        <w:t>Muy buenos días. Realizado. Por favor revisar y/o comentar. Atento a tus comentarios @ana.quinchara@ambientebogota.gov.co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0000027B" w15:done="0"/>
  <w15:commentEx w15:paraId="00000270" w15:done="0"/>
  <w15:commentEx w15:paraId="00000271" w15:paraIdParent="00000270" w15:done="0"/>
  <w15:commentEx w15:paraId="0000027D" w15:done="0"/>
  <w15:commentEx w15:paraId="00000278" w15:done="0"/>
  <w15:commentEx w15:paraId="00000279" w15:paraIdParent="00000278" w15:done="0"/>
  <w15:commentEx w15:paraId="00000273" w15:done="0"/>
  <w15:commentEx w15:paraId="00000274" w15:paraIdParent="00000273" w15:done="0"/>
  <w15:commentEx w15:paraId="00000280" w15:done="0"/>
  <w15:commentEx w15:paraId="00000284" w15:done="0"/>
  <w15:commentEx w15:paraId="0000026E" w15:done="0"/>
  <w15:commentEx w15:paraId="00000277" w15:done="0"/>
  <w15:commentEx w15:paraId="00000286" w15:done="0"/>
  <w15:commentEx w15:paraId="0000027E" w15:done="0"/>
  <w15:commentEx w15:paraId="0000027A" w15:done="0"/>
  <w15:commentEx w15:paraId="00000275" w15:done="0"/>
  <w15:commentEx w15:paraId="0000026D" w15:done="0"/>
  <w15:commentEx w15:paraId="00000282" w15:done="0"/>
  <w15:commentEx w15:paraId="00000283" w15:paraIdParent="00000282"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0000027B" w16cid:durableId="0000027B"/>
  <w16cid:commentId w16cid:paraId="00000270" w16cid:durableId="00000270"/>
  <w16cid:commentId w16cid:paraId="00000271" w16cid:durableId="00000271"/>
  <w16cid:commentId w16cid:paraId="0000027D" w16cid:durableId="0000027D"/>
  <w16cid:commentId w16cid:paraId="00000278" w16cid:durableId="00000278"/>
  <w16cid:commentId w16cid:paraId="00000279" w16cid:durableId="00000279"/>
  <w16cid:commentId w16cid:paraId="00000273" w16cid:durableId="00000273"/>
  <w16cid:commentId w16cid:paraId="00000274" w16cid:durableId="00000274"/>
  <w16cid:commentId w16cid:paraId="00000280" w16cid:durableId="00000280"/>
  <w16cid:commentId w16cid:paraId="00000284" w16cid:durableId="00000284"/>
  <w16cid:commentId w16cid:paraId="0000026E" w16cid:durableId="0000026E"/>
  <w16cid:commentId w16cid:paraId="00000277" w16cid:durableId="00000277"/>
  <w16cid:commentId w16cid:paraId="00000286" w16cid:durableId="00000286"/>
  <w16cid:commentId w16cid:paraId="0000027E" w16cid:durableId="0000027E"/>
  <w16cid:commentId w16cid:paraId="0000027A" w16cid:durableId="0000027A"/>
  <w16cid:commentId w16cid:paraId="00000275" w16cid:durableId="00000275"/>
  <w16cid:commentId w16cid:paraId="0000026D" w16cid:durableId="0000026D"/>
  <w16cid:commentId w16cid:paraId="00000282" w16cid:durableId="00000282"/>
  <w16cid:commentId w16cid:paraId="00000283" w16cid:durableId="00000283"/>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D1884B" w14:textId="77777777" w:rsidR="009703A3" w:rsidRDefault="009703A3">
      <w:r>
        <w:separator/>
      </w:r>
    </w:p>
  </w:endnote>
  <w:endnote w:type="continuationSeparator" w:id="0">
    <w:p w14:paraId="60999282" w14:textId="77777777" w:rsidR="009703A3" w:rsidRDefault="009703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1" w:fontKey="{D9BB5D96-9B14-4612-BEE6-F2CDDFEFE7F5}"/>
  </w:font>
  <w:font w:name="Georgia">
    <w:panose1 w:val="02040502050405020303"/>
    <w:charset w:val="00"/>
    <w:family w:val="roman"/>
    <w:pitch w:val="variable"/>
    <w:sig w:usb0="00000287" w:usb1="00000000" w:usb2="00000000" w:usb3="00000000" w:csb0="0000009F" w:csb1="00000000"/>
    <w:embedItalic r:id="rId2" w:fontKey="{504E8A98-A9E0-40F5-9DE8-3AE3380907C7}"/>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embedRegular r:id="rId3" w:fontKey="{C363EAD6-B908-483D-9147-9F6C03C5870B}"/>
  </w:font>
  <w:font w:name="Arial Unicode MS">
    <w:altName w:val="Arial"/>
    <w:panose1 w:val="020B0604020202020204"/>
    <w:charset w:val="00"/>
    <w:family w:val="auto"/>
    <w:pitch w:val="default"/>
  </w:font>
  <w:font w:name="Calibri Light">
    <w:panose1 w:val="020F0302020204030204"/>
    <w:charset w:val="00"/>
    <w:family w:val="swiss"/>
    <w:pitch w:val="variable"/>
    <w:sig w:usb0="E4002EFF" w:usb1="C200247B" w:usb2="00000009" w:usb3="00000000" w:csb0="000001FF" w:csb1="00000000"/>
    <w:embedRegular r:id="rId4" w:fontKey="{A4AFAE9B-C465-4CAD-AE80-004880F4A463}"/>
  </w:font>
  <w:font w:name="Calibri">
    <w:panose1 w:val="020F0502020204030204"/>
    <w:charset w:val="00"/>
    <w:family w:val="swiss"/>
    <w:pitch w:val="variable"/>
    <w:sig w:usb0="E4002EFF" w:usb1="C200247B" w:usb2="00000009" w:usb3="00000000" w:csb0="000001FF" w:csb1="00000000"/>
    <w:embedRegular r:id="rId5" w:fontKey="{6FD281E6-879A-4ACE-B753-B9509F78003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5" w14:textId="77777777" w:rsidR="009D7C1F" w:rsidRDefault="009D7C1F">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bookmarkStart w:id="1" w:name="bookmark=id.eh1qbr8hz94z" w:colFirst="0" w:colLast="0"/>
    <w:bookmarkEnd w:id="1"/>
  </w:p>
  <w:tbl>
    <w:tblPr>
      <w:tblStyle w:val="a6"/>
      <w:tblW w:w="9384" w:type="dxa"/>
      <w:tblInd w:w="0" w:type="dxa"/>
      <w:tblLayout w:type="fixed"/>
      <w:tblLook w:val="0000" w:firstRow="0" w:lastRow="0" w:firstColumn="0" w:lastColumn="0" w:noHBand="0" w:noVBand="0"/>
    </w:tblPr>
    <w:tblGrid>
      <w:gridCol w:w="4824"/>
      <w:gridCol w:w="4560"/>
    </w:tblGrid>
    <w:tr w:rsidR="009D7C1F" w14:paraId="1A0E997A" w14:textId="77777777">
      <w:trPr>
        <w:trHeight w:val="1320"/>
      </w:trPr>
      <w:tc>
        <w:tcPr>
          <w:tcW w:w="4824" w:type="dxa"/>
          <w:tcMar>
            <w:top w:w="0" w:type="dxa"/>
            <w:left w:w="0" w:type="dxa"/>
            <w:bottom w:w="0" w:type="dxa"/>
            <w:right w:w="0" w:type="dxa"/>
          </w:tcMar>
          <w:vAlign w:val="center"/>
        </w:tcPr>
        <w:p w14:paraId="00000266" w14:textId="77777777" w:rsidR="009D7C1F" w:rsidRDefault="00000000">
          <w:pPr>
            <w:pBdr>
              <w:top w:val="nil"/>
              <w:left w:val="nil"/>
              <w:bottom w:val="nil"/>
              <w:right w:val="nil"/>
              <w:between w:val="nil"/>
            </w:pBdr>
            <w:rPr>
              <w:color w:val="000000"/>
              <w:sz w:val="20"/>
              <w:szCs w:val="20"/>
            </w:rPr>
          </w:pPr>
          <w:r>
            <w:rPr>
              <w:color w:val="000000"/>
              <w:sz w:val="20"/>
              <w:szCs w:val="20"/>
            </w:rPr>
            <w:fldChar w:fldCharType="begin"/>
          </w:r>
          <w:r>
            <w:rPr>
              <w:color w:val="000000"/>
              <w:sz w:val="20"/>
              <w:szCs w:val="20"/>
            </w:rPr>
            <w:instrText xml:space="preserve"> INCLUDEPICTURE  "ooxWord://media/image1.JPEG" \* MERGEFORMATINET </w:instrText>
          </w:r>
          <w:r>
            <w:rPr>
              <w:color w:val="000000"/>
              <w:sz w:val="20"/>
              <w:szCs w:val="20"/>
            </w:rPr>
            <w:fldChar w:fldCharType="separate"/>
          </w:r>
          <w:r w:rsidR="00316336">
            <w:rPr>
              <w:color w:val="000000"/>
              <w:sz w:val="20"/>
              <w:szCs w:val="20"/>
            </w:rPr>
            <w:pict w14:anchorId="56AF06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33.5pt;height:56.5pt">
                <v:imagedata r:id="rId1" r:href="rId2"/>
              </v:shape>
            </w:pict>
          </w:r>
          <w:r>
            <w:rPr>
              <w:color w:val="000000"/>
              <w:sz w:val="20"/>
              <w:szCs w:val="20"/>
            </w:rPr>
            <w:fldChar w:fldCharType="end"/>
          </w:r>
        </w:p>
      </w:tc>
      <w:tc>
        <w:tcPr>
          <w:tcW w:w="4560" w:type="dxa"/>
          <w:tcMar>
            <w:top w:w="0" w:type="dxa"/>
            <w:left w:w="0" w:type="dxa"/>
            <w:bottom w:w="0" w:type="dxa"/>
            <w:right w:w="0" w:type="dxa"/>
          </w:tcMar>
          <w:vAlign w:val="center"/>
        </w:tcPr>
        <w:p w14:paraId="00000267" w14:textId="77777777" w:rsidR="009D7C1F" w:rsidRDefault="00000000">
          <w:pPr>
            <w:pBdr>
              <w:top w:val="nil"/>
              <w:left w:val="nil"/>
              <w:bottom w:val="nil"/>
              <w:right w:val="nil"/>
              <w:between w:val="nil"/>
            </w:pBdr>
            <w:jc w:val="right"/>
            <w:rPr>
              <w:color w:val="000000"/>
              <w:sz w:val="20"/>
              <w:szCs w:val="20"/>
            </w:rPr>
          </w:pPr>
          <w:r>
            <w:rPr>
              <w:color w:val="000000"/>
              <w:sz w:val="20"/>
              <w:szCs w:val="20"/>
            </w:rPr>
            <w:fldChar w:fldCharType="begin"/>
          </w:r>
          <w:r>
            <w:rPr>
              <w:color w:val="000000"/>
              <w:sz w:val="20"/>
              <w:szCs w:val="20"/>
            </w:rPr>
            <w:instrText xml:space="preserve"> INCLUDEPICTURE  "ooxWord://media/image2.JPEG" \* MERGEFORMATINET </w:instrText>
          </w:r>
          <w:r>
            <w:rPr>
              <w:color w:val="000000"/>
              <w:sz w:val="20"/>
              <w:szCs w:val="20"/>
            </w:rPr>
            <w:fldChar w:fldCharType="separate"/>
          </w:r>
          <w:r w:rsidR="00316336">
            <w:rPr>
              <w:color w:val="000000"/>
              <w:sz w:val="20"/>
              <w:szCs w:val="20"/>
            </w:rPr>
            <w:pict w14:anchorId="2E320152">
              <v:shape id="_x0000_i1027" type="#_x0000_t75" style="width:124.5pt;height:64pt">
                <v:imagedata r:id="rId3" r:href="rId4"/>
              </v:shape>
            </w:pict>
          </w:r>
          <w:r>
            <w:rPr>
              <w:color w:val="000000"/>
              <w:sz w:val="20"/>
              <w:szCs w:val="20"/>
            </w:rPr>
            <w:fldChar w:fldCharType="end"/>
          </w:r>
        </w:p>
      </w:tc>
    </w:tr>
  </w:tbl>
  <w:p w14:paraId="00000268" w14:textId="77777777" w:rsidR="009D7C1F" w:rsidRDefault="009D7C1F"/>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9" w14:textId="77777777" w:rsidR="009D7C1F" w:rsidRDefault="00000000">
    <w:pPr>
      <w:pBdr>
        <w:top w:val="nil"/>
        <w:left w:val="nil"/>
        <w:bottom w:val="nil"/>
        <w:right w:val="nil"/>
        <w:between w:val="nil"/>
      </w:pBdr>
      <w:tabs>
        <w:tab w:val="center" w:pos="4252"/>
        <w:tab w:val="right" w:pos="8504"/>
        <w:tab w:val="left" w:pos="3705"/>
      </w:tabs>
      <w:rPr>
        <w:color w:val="000000"/>
      </w:rPr>
    </w:pPr>
    <w:r>
      <w:rPr>
        <w:color w:val="000000"/>
      </w:rPr>
      <w:tab/>
    </w:r>
    <w:r>
      <w:rPr>
        <w:noProof/>
      </w:rPr>
      <mc:AlternateContent>
        <mc:Choice Requires="wpg">
          <w:drawing>
            <wp:anchor distT="0" distB="0" distL="114300" distR="114300" simplePos="0" relativeHeight="251658240" behindDoc="0" locked="0" layoutInCell="1" hidden="0" allowOverlap="1" wp14:anchorId="1665A563" wp14:editId="548684C8">
              <wp:simplePos x="0" y="0"/>
              <wp:positionH relativeFrom="column">
                <wp:posOffset>-675321</wp:posOffset>
              </wp:positionH>
              <wp:positionV relativeFrom="paragraph">
                <wp:posOffset>68263</wp:posOffset>
              </wp:positionV>
              <wp:extent cx="2169795" cy="477520"/>
              <wp:effectExtent l="0" t="0" r="0" b="0"/>
              <wp:wrapNone/>
              <wp:docPr id="2" name="Rectángulo 2"/>
              <wp:cNvGraphicFramePr/>
              <a:graphic xmlns:a="http://schemas.openxmlformats.org/drawingml/2006/main">
                <a:graphicData uri="http://schemas.microsoft.com/office/word/2010/wordprocessingShape">
                  <wps:wsp>
                    <wps:cNvSpPr/>
                    <wps:spPr>
                      <a:xfrm>
                        <a:off x="4265865" y="3546003"/>
                        <a:ext cx="2160270" cy="467995"/>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1CA718E3" w14:textId="77777777" w:rsidR="009D7C1F" w:rsidRDefault="00000000">
                          <w:pPr>
                            <w:textDirection w:val="btLr"/>
                          </w:pPr>
                          <w:r>
                            <w:rPr>
                              <w:color w:val="000000"/>
                              <w:sz w:val="16"/>
                            </w:rPr>
                            <w:t xml:space="preserve">NUEVA DIRECCIÓN </w:t>
                          </w:r>
                        </w:p>
                        <w:p w14:paraId="51727AE1" w14:textId="77777777" w:rsidR="009D7C1F" w:rsidRDefault="00000000">
                          <w:pPr>
                            <w:textDirection w:val="btLr"/>
                          </w:pPr>
                          <w:r>
                            <w:rPr>
                              <w:color w:val="000000"/>
                              <w:sz w:val="16"/>
                            </w:rPr>
                            <w:t>Avenida Caracas No 54 – 38</w:t>
                          </w:r>
                        </w:p>
                        <w:p w14:paraId="2FE0EF58" w14:textId="77777777" w:rsidR="009D7C1F" w:rsidRDefault="00000000">
                          <w:pPr>
                            <w:textDirection w:val="btLr"/>
                          </w:pPr>
                          <w:r>
                            <w:rPr>
                              <w:color w:val="000000"/>
                              <w:sz w:val="16"/>
                            </w:rPr>
                            <w:t>PBX: 3778899</w:t>
                          </w:r>
                        </w:p>
                      </w:txbxContent>
                    </wps:txbx>
                    <wps:bodyPr spcFirstLastPara="1" wrap="square" lIns="91425" tIns="45700" rIns="91425" bIns="4570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-675321</wp:posOffset>
              </wp:positionH>
              <wp:positionV relativeFrom="paragraph">
                <wp:posOffset>68263</wp:posOffset>
              </wp:positionV>
              <wp:extent cx="2169795" cy="477520"/>
              <wp:effectExtent b="0" l="0" r="0" t="0"/>
              <wp:wrapNone/>
              <wp:docPr id="2" name="image10.png"/>
              <a:graphic>
                <a:graphicData uri="http://schemas.openxmlformats.org/drawingml/2006/picture">
                  <pic:pic>
                    <pic:nvPicPr>
                      <pic:cNvPr id="0" name="image10.png"/>
                      <pic:cNvPicPr preferRelativeResize="0"/>
                    </pic:nvPicPr>
                    <pic:blipFill>
                      <a:blip r:embed="rId7"/>
                      <a:srcRect/>
                      <a:stretch>
                        <a:fillRect/>
                      </a:stretch>
                    </pic:blipFill>
                    <pic:spPr>
                      <a:xfrm>
                        <a:off x="0" y="0"/>
                        <a:ext cx="2169795" cy="477520"/>
                      </a:xfrm>
                      <a:prstGeom prst="rect"/>
                      <a:ln/>
                    </pic:spPr>
                  </pic:pic>
                </a:graphicData>
              </a:graphic>
            </wp:anchor>
          </w:drawing>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0FB97DB" w14:textId="77777777" w:rsidR="009703A3" w:rsidRDefault="009703A3">
      <w:r>
        <w:separator/>
      </w:r>
    </w:p>
  </w:footnote>
  <w:footnote w:type="continuationSeparator" w:id="0">
    <w:p w14:paraId="0BD3DE6E" w14:textId="77777777" w:rsidR="009703A3" w:rsidRDefault="009703A3">
      <w:r>
        <w:continuationSeparator/>
      </w:r>
    </w:p>
  </w:footnote>
  <w:footnote w:id="1">
    <w:p w14:paraId="0000026A" w14:textId="77777777" w:rsidR="009D7C1F" w:rsidRDefault="00000000">
      <w:pPr>
        <w:rPr>
          <w:rFonts w:ascii="Arial" w:eastAsia="Arial" w:hAnsi="Arial" w:cs="Arial"/>
          <w:sz w:val="18"/>
          <w:szCs w:val="18"/>
        </w:rPr>
      </w:pPr>
      <w:r>
        <w:rPr>
          <w:vertAlign w:val="superscript"/>
        </w:rPr>
        <w:footnoteRef/>
      </w:r>
      <w:r>
        <w:rPr>
          <w:sz w:val="18"/>
          <w:szCs w:val="18"/>
        </w:rPr>
        <w:t xml:space="preserve"> </w:t>
      </w:r>
      <w:r>
        <w:rPr>
          <w:rFonts w:ascii="Arial" w:eastAsia="Arial" w:hAnsi="Arial" w:cs="Arial"/>
          <w:sz w:val="18"/>
          <w:szCs w:val="18"/>
        </w:rPr>
        <w:t>Secretaría Distrital de Salud. (2026). EVALUACIÓN DE IMPACTO EN SALUD: BOGOTÁ, AÑOS 2018 – 2022. https://saludata.saludcapital.gov.co/osb/evaluacion-impacto-salud-bogota-2018-2022/</w:t>
      </w:r>
    </w:p>
  </w:footnote>
  <w:footnote w:id="2">
    <w:p w14:paraId="0000026B" w14:textId="77777777" w:rsidR="009D7C1F" w:rsidRDefault="00000000">
      <w:pPr>
        <w:rPr>
          <w:rFonts w:ascii="Arial" w:eastAsia="Arial" w:hAnsi="Arial" w:cs="Arial"/>
          <w:sz w:val="20"/>
          <w:szCs w:val="20"/>
        </w:rPr>
      </w:pPr>
      <w:r>
        <w:rPr>
          <w:vertAlign w:val="superscript"/>
        </w:rPr>
        <w:footnoteRef/>
      </w:r>
      <w:r>
        <w:rPr>
          <w:sz w:val="20"/>
          <w:szCs w:val="20"/>
        </w:rPr>
        <w:t xml:space="preserve"> </w:t>
      </w:r>
      <w:r>
        <w:rPr>
          <w:rFonts w:ascii="Arial" w:eastAsia="Arial" w:hAnsi="Arial" w:cs="Arial"/>
          <w:sz w:val="20"/>
          <w:szCs w:val="20"/>
        </w:rPr>
        <w:t xml:space="preserve">Los criterios de declaratoria y finalización de alertas y emergencias se resumen en la Tabla 4, los cuales aplican a nivel zonal o de toda la ciudad, siempre y cuando haya más del 50 % de las estaciones de la RMCAB en estado de alerta o emergencia para una de estas escalas territoriales. Favor consultar la Tabla 4 del siguiente enlace: </w:t>
      </w:r>
      <w:hyperlink r:id="rId1">
        <w:r>
          <w:rPr>
            <w:rFonts w:ascii="Arial" w:eastAsia="Arial" w:hAnsi="Arial" w:cs="Arial"/>
            <w:color w:val="1155CC"/>
            <w:sz w:val="20"/>
            <w:szCs w:val="20"/>
            <w:u w:val="single"/>
          </w:rPr>
          <w:t>https://www.alcaldiabogota.gov.co/sisjur/normas/Norma1.jsp?i=152203</w:t>
        </w:r>
      </w:hyperlink>
      <w:r>
        <w:rPr>
          <w:rFonts w:ascii="Arial" w:eastAsia="Arial" w:hAnsi="Arial" w:cs="Arial"/>
          <w:sz w:val="20"/>
          <w:szCs w:val="20"/>
        </w:rPr>
        <w:t xml:space="preserve"> . Para mayor información consultar la Resolución Conjunta 2840 de 2023 Secretaría Distrital de Ambiente - Secretaría Distrital de Salud en formato PDF. </w:t>
      </w:r>
    </w:p>
    <w:p w14:paraId="0000026C" w14:textId="77777777" w:rsidR="009D7C1F" w:rsidRDefault="009D7C1F">
      <w:pPr>
        <w:rPr>
          <w:sz w:val="20"/>
          <w:szCs w:val="20"/>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2" w14:textId="77777777" w:rsidR="009D7C1F" w:rsidRDefault="009D7C1F">
    <w:pPr>
      <w:pBdr>
        <w:top w:val="nil"/>
        <w:left w:val="nil"/>
        <w:bottom w:val="nil"/>
        <w:right w:val="nil"/>
        <w:between w:val="nil"/>
      </w:pBdr>
      <w:tabs>
        <w:tab w:val="center" w:pos="4252"/>
        <w:tab w:val="right" w:pos="8504"/>
      </w:tabs>
      <w:jc w:val="center"/>
      <w:rPr>
        <w:color w:val="FFFFFF"/>
      </w:rPr>
    </w:pPr>
    <w:bookmarkStart w:id="0" w:name="bookmark=id.4rpqmakwl5t0" w:colFirst="0" w:colLast="0"/>
    <w:bookmarkEnd w:id="0"/>
  </w:p>
  <w:tbl>
    <w:tblPr>
      <w:tblStyle w:val="a5"/>
      <w:tblW w:w="9406" w:type="dxa"/>
      <w:tblInd w:w="0" w:type="dxa"/>
      <w:tblLayout w:type="fixed"/>
      <w:tblLook w:val="0000" w:firstRow="0" w:lastRow="0" w:firstColumn="0" w:lastColumn="0" w:noHBand="0" w:noVBand="0"/>
    </w:tblPr>
    <w:tblGrid>
      <w:gridCol w:w="9406"/>
    </w:tblGrid>
    <w:tr w:rsidR="009D7C1F" w14:paraId="759B990B" w14:textId="77777777">
      <w:tc>
        <w:tcPr>
          <w:tcW w:w="9406" w:type="dxa"/>
          <w:tcMar>
            <w:top w:w="160" w:type="dxa"/>
            <w:left w:w="0" w:type="dxa"/>
            <w:bottom w:w="0" w:type="dxa"/>
            <w:right w:w="0" w:type="dxa"/>
          </w:tcMar>
        </w:tcPr>
        <w:p w14:paraId="00000263" w14:textId="77777777" w:rsidR="009D7C1F" w:rsidRDefault="00000000">
          <w:pPr>
            <w:pBdr>
              <w:top w:val="nil"/>
              <w:left w:val="nil"/>
              <w:bottom w:val="nil"/>
              <w:right w:val="nil"/>
              <w:between w:val="nil"/>
            </w:pBdr>
            <w:jc w:val="center"/>
            <w:rPr>
              <w:color w:val="000000"/>
              <w:sz w:val="20"/>
              <w:szCs w:val="20"/>
            </w:rPr>
          </w:pPr>
          <w:r>
            <w:rPr>
              <w:color w:val="000000"/>
              <w:sz w:val="20"/>
              <w:szCs w:val="20"/>
            </w:rPr>
            <w:fldChar w:fldCharType="begin"/>
          </w:r>
          <w:r>
            <w:rPr>
              <w:color w:val="000000"/>
              <w:sz w:val="20"/>
              <w:szCs w:val="20"/>
            </w:rPr>
            <w:instrText xml:space="preserve"> INCLUDEPICTURE  "ooxWord://media/image1.JPEG" \* MERGEFORMATINET </w:instrText>
          </w:r>
          <w:r>
            <w:rPr>
              <w:color w:val="000000"/>
              <w:sz w:val="20"/>
              <w:szCs w:val="20"/>
            </w:rPr>
            <w:fldChar w:fldCharType="separate"/>
          </w:r>
          <w:r w:rsidR="00316336">
            <w:rPr>
              <w:color w:val="000000"/>
              <w:sz w:val="20"/>
              <w:szCs w:val="20"/>
            </w:rPr>
            <w:pict w14:anchorId="1ED3C43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5.5pt;height:60pt">
                <v:imagedata r:id="rId1" r:href="rId2"/>
              </v:shape>
            </w:pict>
          </w:r>
          <w:r>
            <w:rPr>
              <w:color w:val="000000"/>
              <w:sz w:val="20"/>
              <w:szCs w:val="20"/>
            </w:rPr>
            <w:fldChar w:fldCharType="end"/>
          </w:r>
        </w:p>
      </w:tc>
    </w:tr>
  </w:tbl>
  <w:p w14:paraId="00000264" w14:textId="77777777" w:rsidR="009D7C1F" w:rsidRDefault="009D7C1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9D05C0"/>
    <w:multiLevelType w:val="multilevel"/>
    <w:tmpl w:val="ACAA97B8"/>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 w15:restartNumberingAfterBreak="0">
    <w:nsid w:val="0C315FB2"/>
    <w:multiLevelType w:val="multilevel"/>
    <w:tmpl w:val="EE7C96E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125F07AC"/>
    <w:multiLevelType w:val="multilevel"/>
    <w:tmpl w:val="28D496EE"/>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 w15:restartNumberingAfterBreak="0">
    <w:nsid w:val="20B734BB"/>
    <w:multiLevelType w:val="multilevel"/>
    <w:tmpl w:val="5DD2A486"/>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 w15:restartNumberingAfterBreak="0">
    <w:nsid w:val="24CD0E3E"/>
    <w:multiLevelType w:val="multilevel"/>
    <w:tmpl w:val="369C51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28E51C00"/>
    <w:multiLevelType w:val="multilevel"/>
    <w:tmpl w:val="B07CF74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2AB1114B"/>
    <w:multiLevelType w:val="multilevel"/>
    <w:tmpl w:val="18889BB6"/>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7" w15:restartNumberingAfterBreak="0">
    <w:nsid w:val="3E7A0AFB"/>
    <w:multiLevelType w:val="multilevel"/>
    <w:tmpl w:val="BDBEA046"/>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8" w15:restartNumberingAfterBreak="0">
    <w:nsid w:val="423B1076"/>
    <w:multiLevelType w:val="multilevel"/>
    <w:tmpl w:val="771877BE"/>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9" w15:restartNumberingAfterBreak="0">
    <w:nsid w:val="57814A14"/>
    <w:multiLevelType w:val="multilevel"/>
    <w:tmpl w:val="32E26AF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15:restartNumberingAfterBreak="0">
    <w:nsid w:val="68DC7C66"/>
    <w:multiLevelType w:val="multilevel"/>
    <w:tmpl w:val="2E92F41E"/>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1" w15:restartNumberingAfterBreak="0">
    <w:nsid w:val="74D57309"/>
    <w:multiLevelType w:val="multilevel"/>
    <w:tmpl w:val="BE9CD9A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7FAF3A88"/>
    <w:multiLevelType w:val="multilevel"/>
    <w:tmpl w:val="672693C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123039932">
    <w:abstractNumId w:val="1"/>
  </w:num>
  <w:num w:numId="2" w16cid:durableId="443161058">
    <w:abstractNumId w:val="9"/>
  </w:num>
  <w:num w:numId="3" w16cid:durableId="1172179626">
    <w:abstractNumId w:val="11"/>
  </w:num>
  <w:num w:numId="4" w16cid:durableId="143201762">
    <w:abstractNumId w:val="8"/>
  </w:num>
  <w:num w:numId="5" w16cid:durableId="638340550">
    <w:abstractNumId w:val="3"/>
  </w:num>
  <w:num w:numId="6" w16cid:durableId="504631896">
    <w:abstractNumId w:val="10"/>
  </w:num>
  <w:num w:numId="7" w16cid:durableId="412046637">
    <w:abstractNumId w:val="6"/>
  </w:num>
  <w:num w:numId="8" w16cid:durableId="1009329437">
    <w:abstractNumId w:val="2"/>
  </w:num>
  <w:num w:numId="9" w16cid:durableId="1665546577">
    <w:abstractNumId w:val="0"/>
  </w:num>
  <w:num w:numId="10" w16cid:durableId="884104792">
    <w:abstractNumId w:val="7"/>
  </w:num>
  <w:num w:numId="11" w16cid:durableId="1733581322">
    <w:abstractNumId w:val="4"/>
  </w:num>
  <w:num w:numId="12" w16cid:durableId="1759249691">
    <w:abstractNumId w:val="12"/>
  </w:num>
  <w:num w:numId="13" w16cid:durableId="2023122373">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D7C1F"/>
    <w:rsid w:val="00316336"/>
    <w:rsid w:val="00666002"/>
    <w:rsid w:val="009703A3"/>
    <w:rsid w:val="009D7C1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5:docId w15:val="{D98BB88A-9019-4C63-A321-7E9C3C22D6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ES_tradnl"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bCs/>
      <w:sz w:val="48"/>
      <w:szCs w:val="48"/>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paragraph" w:styleId="Encabezado">
    <w:name w:val="header"/>
    <w:basedOn w:val="Normal"/>
    <w:rsid w:val="008318BD"/>
    <w:pPr>
      <w:tabs>
        <w:tab w:val="center" w:pos="4252"/>
        <w:tab w:val="right" w:pos="8504"/>
      </w:tabs>
    </w:pPr>
  </w:style>
  <w:style w:type="paragraph" w:styleId="Piedepgina">
    <w:name w:val="footer"/>
    <w:basedOn w:val="Normal"/>
    <w:rsid w:val="008318BD"/>
    <w:pPr>
      <w:tabs>
        <w:tab w:val="center" w:pos="4252"/>
        <w:tab w:val="right" w:pos="8504"/>
      </w:tabs>
    </w:pPr>
  </w:style>
  <w:style w:type="character" w:styleId="Nmerodepgina">
    <w:name w:val="page number"/>
    <w:basedOn w:val="Fuentedeprrafopredeter"/>
    <w:rsid w:val="0003037A"/>
  </w:style>
  <w:style w:type="table" w:styleId="Tablaconcuadrcula">
    <w:name w:val="Table Grid"/>
    <w:basedOn w:val="Tablanormal"/>
    <w:rsid w:val="0003037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rsid w:val="00AB36A8"/>
    <w:rPr>
      <w:rFonts w:ascii="Tahoma" w:hAnsi="Tahoma"/>
      <w:sz w:val="16"/>
      <w:szCs w:val="16"/>
    </w:rPr>
  </w:style>
  <w:style w:type="character" w:customStyle="1" w:styleId="TextodegloboCar">
    <w:name w:val="Texto de globo Car"/>
    <w:link w:val="Textodeglobo"/>
    <w:rsid w:val="00AB36A8"/>
    <w:rPr>
      <w:rFonts w:ascii="Tahoma" w:hAnsi="Tahoma" w:cs="Tahoma"/>
      <w:sz w:val="16"/>
      <w:szCs w:val="16"/>
      <w:lang w:val="es-ES_tradnl" w:eastAsia="es-ES"/>
    </w:rPr>
  </w:style>
  <w:style w:type="character" w:customStyle="1" w:styleId="legal">
    <w:name w:val="legal"/>
    <w:basedOn w:val="Fuentedeprrafopredeter"/>
    <w:rsid w:val="00D5747F"/>
  </w:style>
  <w:style w:type="character" w:styleId="Hipervnculo">
    <w:name w:val="Hyperlink"/>
    <w:rsid w:val="00D5747F"/>
    <w:rPr>
      <w:color w:val="0000FF"/>
      <w:u w:val="single"/>
    </w:rPr>
  </w:style>
  <w:style w:type="paragraph" w:customStyle="1" w:styleId="Normal0">
    <w:name w:val="Normal_0"/>
    <w:qFormat/>
    <w:rsid w:val="004B77B5"/>
  </w:style>
  <w:style w:type="paragraph" w:customStyle="1" w:styleId="Normal1">
    <w:name w:val="Normal_1"/>
    <w:qFormat/>
    <w:rsid w:val="004B77B5"/>
  </w:style>
  <w:style w:type="paragraph" w:styleId="Prrafodelista">
    <w:name w:val="List Paragraph"/>
    <w:basedOn w:val="Normal"/>
    <w:uiPriority w:val="34"/>
    <w:qFormat/>
    <w:rsid w:val="00707F69"/>
    <w:pPr>
      <w:ind w:left="720"/>
      <w:contextualSpacing/>
    </w:pPr>
    <w:rPr>
      <w:lang w:val="es-CO"/>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Pr>
  </w:style>
  <w:style w:type="table" w:customStyle="1" w:styleId="a4">
    <w:basedOn w:val="TableNormal"/>
    <w:tblPr>
      <w:tblStyleRowBandSize w:val="1"/>
      <w:tblStyleColBandSize w:val="1"/>
      <w:tblCellMar>
        <w:top w:w="0" w:type="dxa"/>
        <w:left w:w="115" w:type="dxa"/>
        <w:bottom w:w="0" w:type="dxa"/>
        <w:right w:w="115" w:type="dxa"/>
      </w:tblCellMar>
    </w:tblPr>
  </w:style>
  <w:style w:type="table" w:customStyle="1" w:styleId="a5">
    <w:basedOn w:val="TableNormal"/>
    <w:tblPr>
      <w:tblStyleRowBandSize w:val="1"/>
      <w:tblStyleColBandSize w:val="1"/>
      <w:tblCellMar>
        <w:top w:w="0" w:type="dxa"/>
        <w:left w:w="115" w:type="dxa"/>
        <w:bottom w:w="0" w:type="dxa"/>
        <w:right w:w="115" w:type="dxa"/>
      </w:tblCellMar>
    </w:tblPr>
  </w:style>
  <w:style w:type="table" w:customStyle="1" w:styleId="a6">
    <w:basedOn w:val="TableNormal"/>
    <w:tblPr>
      <w:tblStyleRowBandSize w:val="1"/>
      <w:tblStyleColBandSize w:val="1"/>
      <w:tblCellMar>
        <w:top w:w="0" w:type="dxa"/>
        <w:left w:w="115" w:type="dxa"/>
        <w:bottom w:w="0" w:type="dxa"/>
        <w:right w:w="115" w:type="dxa"/>
      </w:tblCellMar>
    </w:tblPr>
  </w:style>
  <w:style w:type="paragraph" w:styleId="Textocomentario">
    <w:name w:val="annotation text"/>
    <w:basedOn w:val="Normal"/>
    <w:link w:val="TextocomentarioCar"/>
    <w:uiPriority w:val="99"/>
    <w:semiHidden/>
    <w:unhideWhenUsed/>
    <w:rPr>
      <w:sz w:val="20"/>
      <w:szCs w:val="20"/>
    </w:rPr>
  </w:style>
  <w:style w:type="character" w:customStyle="1" w:styleId="TextocomentarioCar">
    <w:name w:val="Texto comentario Car"/>
    <w:basedOn w:val="Fuentedeprrafopredeter"/>
    <w:link w:val="Textocomentario"/>
    <w:uiPriority w:val="99"/>
    <w:semiHidden/>
    <w:rPr>
      <w:sz w:val="20"/>
      <w:szCs w:val="20"/>
    </w:rPr>
  </w:style>
  <w:style w:type="character" w:styleId="Refdecomentario">
    <w:name w:val="annotation reference"/>
    <w:basedOn w:val="Fuentedeprrafopredeter"/>
    <w:uiPriority w:val="99"/>
    <w:semiHidden/>
    <w:unhideWhenUsed/>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microsoft.com/office/2016/09/relationships/commentsIds" Target="commentsIds.xml"/><Relationship Id="rId18" Type="http://schemas.openxmlformats.org/officeDocument/2006/relationships/hyperlink" Target="https://www.oecd.org/content/dam/oecd/en/publications/reports/2016/08/population-exposure-to-fine-particles_g17a285c/5jlsqs8g1t9r-en.pdf" TargetMode="External"/><Relationship Id="rId26" Type="http://schemas.openxmlformats.org/officeDocument/2006/relationships/hyperlink" Target="https://saludata.saludcapital.gov.co/osb/evaluacion-impacto-salud-bogota-2018-2022/" TargetMode="External"/><Relationship Id="rId3" Type="http://schemas.openxmlformats.org/officeDocument/2006/relationships/styles" Target="styles.xml"/><Relationship Id="rId21" Type="http://schemas.openxmlformats.org/officeDocument/2006/relationships/hyperlink" Target="https://www.oecd.org/en/data/dashboards/environment-at-a-glance.html?oecdcontrol-chart-control-4cd72b7152-var1=COL" TargetMode="External"/><Relationship Id="rId7" Type="http://schemas.openxmlformats.org/officeDocument/2006/relationships/endnotes" Target="endnotes.xml"/><Relationship Id="rId12" Type="http://schemas.microsoft.com/office/2011/relationships/commentsExtended" Target="commentsExtended.xml"/><Relationship Id="rId17" Type="http://schemas.openxmlformats.org/officeDocument/2006/relationships/hyperlink" Target="https://www.oecd.org/en/data/dashboards/environment-at-a-glance.html?oecdcontrol-chart-control-4cd72b7152-var1=COL" TargetMode="External"/><Relationship Id="rId25"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hyperlink" Target="http://oecd.org" TargetMode="External"/><Relationship Id="rId20" Type="http://schemas.openxmlformats.org/officeDocument/2006/relationships/hyperlink" Target="http://oecd.org"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omments" Target="comments.xml"/><Relationship Id="rId24" Type="http://schemas.openxmlformats.org/officeDocument/2006/relationships/image" Target="media/image8.png"/><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7.png"/><Relationship Id="rId28" Type="http://schemas.openxmlformats.org/officeDocument/2006/relationships/fontTable" Target="fontTable.xml"/><Relationship Id="rId10" Type="http://schemas.openxmlformats.org/officeDocument/2006/relationships/footer" Target="footer2.xml"/><Relationship Id="rId19" Type="http://schemas.openxmlformats.org/officeDocument/2006/relationships/image" Target="media/image6.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4.png"/><Relationship Id="rId22" Type="http://schemas.openxmlformats.org/officeDocument/2006/relationships/hyperlink" Target="https://www.oecd.org/content/dam/oecd/en/publications/reports/2016/08/population-exposure-to-fine-particles_g17a285c/5jlsqs8g1t9r-en.pdf" TargetMode="External"/><Relationship Id="rId27" Type="http://schemas.openxmlformats.org/officeDocument/2006/relationships/hyperlink" Target="http://iboca.ambientebogota.gov.co/publicaciones/177/plan-de-contingencia/"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ooxWord://media/image1.JPEG" TargetMode="External"/><Relationship Id="rId1" Type="http://schemas.openxmlformats.org/officeDocument/2006/relationships/image" Target="media/image2.jpeg"/><Relationship Id="rId4" Type="http://schemas.openxmlformats.org/officeDocument/2006/relationships/image" Target="ooxWord://media/image2.JPEG" TargetMode="External"/></Relationships>
</file>

<file path=word/_rels/footer2.xml.rels><?xml version="1.0" encoding="UTF-8" standalone="yes"?>
<Relationships xmlns="http://schemas.openxmlformats.org/package/2006/relationships"><Relationship Id="rId7" Type="http://schemas.openxmlformats.org/officeDocument/2006/relationships/image" Target="media/image10.png"/></Relationships>
</file>

<file path=word/_rels/footnotes.xml.rels><?xml version="1.0" encoding="UTF-8" standalone="yes"?>
<Relationships xmlns="http://schemas.openxmlformats.org/package/2006/relationships"><Relationship Id="rId1" Type="http://schemas.openxmlformats.org/officeDocument/2006/relationships/hyperlink" Target="https://www.alcaldiabogota.gov.co/sisjur/normas/Norma1.jsp?i=152203" TargetMode="External"/></Relationships>
</file>

<file path=word/_rels/header1.xml.rels><?xml version="1.0" encoding="UTF-8" standalone="yes"?>
<Relationships xmlns="http://schemas.openxmlformats.org/package/2006/relationships"><Relationship Id="rId2" Type="http://schemas.openxmlformats.org/officeDocument/2006/relationships/image" Target="ooxWord://media/image1.JPEG" TargetMode="External"/><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pxpX9sKsEaN7vd0ykdwDDCIQjYQ==">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7818</Words>
  <Characters>42999</Characters>
  <Application>Microsoft Office Word</Application>
  <DocSecurity>0</DocSecurity>
  <Lines>358</Lines>
  <Paragraphs>101</Paragraphs>
  <ScaleCrop>false</ScaleCrop>
  <Company/>
  <LinksUpToDate>false</LinksUpToDate>
  <CharactersWithSpaces>50716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IVONNE</dc:creator>
  <cp:lastModifiedBy>César Alejandro Geney Celis</cp:lastModifiedBy>
  <cp:revision>2</cp:revision>
  <dcterms:created xsi:type="dcterms:W3CDTF">2026-03-26T11:35:00Z</dcterms:created>
  <dcterms:modified xsi:type="dcterms:W3CDTF">2026-03-26T11:35:00Z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arta">
    <vt:lpwstr>versión 0</vt:lpwstr>
  </property>
  <property fmtid="{D5CDD505-2E9C-101B-9397-08002B2CF9AE}" pid="3" name="codtpl">
    <vt:lpwstr>1614404289072</vt:lpwstr>
  </property>
</Properties>
</file>